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Justification of Design Soil Temperatures at Pipeline Burial Depth</w:t>
      </w:r>
    </w:p>
    <w:p>
      <w:pPr>
        <w:jc w:val="center"/>
      </w:pPr>
      <w:r>
        <w:rPr>
          <w:rFonts w:ascii="Times New Roman" w:hAnsi="Times New Roman"/>
          <w:i/>
          <w:sz w:val="24"/>
        </w:rPr>
        <w:t>Summer Operating Scenario — Pipeline Route: Finland–Estonia–Latvia–Lithuania–Poland–Berlin</w:t>
      </w:r>
    </w:p>
    <w:p/>
    <w:p>
      <w:pPr>
        <w:pStyle w:val="Heading1"/>
        <w:jc w:val="left"/>
      </w:pPr>
      <w:r>
        <w:t>1  Purpose and Context</w:t>
      </w:r>
    </w:p>
    <w:p>
      <w:pPr>
        <w:ind w:firstLine="567"/>
        <w:jc w:val="both"/>
      </w:pPr>
      <w:r>
        <w:rPr>
          <w:rFonts w:ascii="Times New Roman" w:hAnsi="Times New Roman"/>
          <w:b w:val="0"/>
          <w:i w:val="0"/>
          <w:sz w:val="22"/>
        </w:rPr>
        <w:t>This document establishes and justifies design soil temperatures at pipeline burial depth for the summer operating scenario of a cross-border high-pressure gas pipeline. The route under consideration runs from the area north of Helsinki (Finland) through Estonia, Latvia, Lithuania and Poland to Berlin, Germany. The total route length is approximately 1,900 km, spanning four climatically distinct zones across latitudes 52.5°N to 60.5°N.</w:t>
      </w:r>
    </w:p>
    <w:p>
      <w:pPr>
        <w:ind w:firstLine="567"/>
        <w:jc w:val="both"/>
      </w:pPr>
      <w:r>
        <w:rPr>
          <w:rFonts w:ascii="Times New Roman" w:hAnsi="Times New Roman"/>
          <w:b w:val="0"/>
          <w:i w:val="0"/>
          <w:sz w:val="22"/>
        </w:rPr>
        <w:t>Soil temperature at the pipeline burial depth is a key input parameter for hydraulic-thermodynamic modelling of a gas transmission system — it affects the specific heat capacity of the gas, dynamic viscosity, compressibility factor, and consequently hydraulic losses and the accuracy of gas temperature calculations at compressor station outlets. For the summer scenario (typically June–August), soil temperature at a depth of 1.0–1.5 m reaches its seasonal maximum with a phase lag of approximately 4–6 weeks behind the surface temperature peak.</w:t>
      </w:r>
    </w:p>
    <w:p/>
    <w:p>
      <w:pPr>
        <w:pStyle w:val="Heading1"/>
        <w:jc w:val="left"/>
      </w:pPr>
      <w:r>
        <w:t>2  Physical Background</w:t>
      </w:r>
    </w:p>
    <w:p>
      <w:pPr>
        <w:jc w:val="both"/>
      </w:pPr>
      <w:r>
        <w:rPr>
          <w:rFonts w:ascii="Times New Roman" w:hAnsi="Times New Roman"/>
          <w:b/>
          <w:i w:val="0"/>
          <w:sz w:val="22"/>
        </w:rPr>
        <w:t>2.1  Heat Transfer in Soil — Periodic Boundary Conditions</w:t>
      </w:r>
    </w:p>
    <w:p>
      <w:pPr>
        <w:ind w:firstLine="567"/>
        <w:jc w:val="both"/>
      </w:pPr>
      <w:r>
        <w:rPr>
          <w:rFonts w:ascii="Times New Roman" w:hAnsi="Times New Roman"/>
          <w:b w:val="0"/>
          <w:i w:val="0"/>
          <w:sz w:val="22"/>
        </w:rPr>
        <w:t>Heat transfer in soil below a depth of approximately 0.3 m is governed exclusively by conduction (convective and radiative contributions are negligible in this context). For a one-dimensional diffusion half-space with a harmonic surface boundary condition, the analytical solution takes the following form (Florides &amp; Kalogirou, 2004):</w:t>
      </w:r>
    </w:p>
    <w:p>
      <w:pPr>
        <w:jc w:val="both"/>
      </w:pPr>
      <w:r>
        <w:rPr>
          <w:rFonts w:ascii="Times New Roman" w:hAnsi="Times New Roman"/>
          <w:b w:val="0"/>
          <w:i/>
          <w:sz w:val="22"/>
        </w:rPr>
        <w:t xml:space="preserve">    T(z, t) = T̅ + Aₛ · exp(−z/D) · cos[2π(t − tₘₐˣ)/365 − z/D]</w:t>
      </w:r>
    </w:p>
    <w:p>
      <w:pPr>
        <w:jc w:val="both"/>
      </w:pPr>
      <w:r>
        <w:rPr>
          <w:rFonts w:ascii="Times New Roman" w:hAnsi="Times New Roman"/>
          <w:b w:val="0"/>
          <w:i w:val="0"/>
          <w:sz w:val="22"/>
        </w:rPr>
        <w:t>where:</w:t>
      </w:r>
    </w:p>
    <w:p>
      <w:pPr>
        <w:pStyle w:val="ListBullet"/>
        <w:ind w:left="850"/>
      </w:pPr>
      <w:r>
        <w:rPr>
          <w:rFonts w:ascii="Times New Roman" w:hAnsi="Times New Roman"/>
          <w:b w:val="0"/>
          <w:sz w:val="22"/>
        </w:rPr>
        <w:t>T̅       — mean annual soil surface temperature [°C]; approximately equal to the mean annual air temperature increased by 1–2°C due to solar radiation absorption at the ground surface (ASHRAE Fundamentals, 2021)</w:t>
      </w:r>
    </w:p>
    <w:p>
      <w:pPr>
        <w:pStyle w:val="ListBullet"/>
        <w:ind w:left="850"/>
      </w:pPr>
      <w:r>
        <w:rPr>
          <w:rFonts w:ascii="Times New Roman" w:hAnsi="Times New Roman"/>
          <w:b w:val="0"/>
          <w:sz w:val="22"/>
        </w:rPr>
        <w:t>Aₛ      — semi-amplitude of surface temperature [°C] = (T₁ᴵᴸⱼ − Tᴵᵃⁿ) / 2</w:t>
      </w:r>
    </w:p>
    <w:p>
      <w:pPr>
        <w:pStyle w:val="ListBullet"/>
        <w:ind w:left="850"/>
      </w:pPr>
      <w:r>
        <w:rPr>
          <w:rFonts w:ascii="Times New Roman" w:hAnsi="Times New Roman"/>
          <w:b w:val="0"/>
          <w:sz w:val="22"/>
        </w:rPr>
        <w:t>z         — depth to pipe centreline below ground level [m]</w:t>
      </w:r>
    </w:p>
    <w:p>
      <w:pPr>
        <w:pStyle w:val="ListBullet"/>
        <w:ind w:left="850"/>
      </w:pPr>
      <w:r>
        <w:rPr>
          <w:rFonts w:ascii="Times New Roman" w:hAnsi="Times New Roman"/>
          <w:b w:val="0"/>
          <w:sz w:val="22"/>
        </w:rPr>
        <w:t>D         — damping depth [m] = √(2α/ω)</w:t>
      </w:r>
    </w:p>
    <w:p>
      <w:pPr>
        <w:pStyle w:val="ListBullet"/>
        <w:ind w:left="850"/>
      </w:pPr>
      <w:r>
        <w:rPr>
          <w:rFonts w:ascii="Times New Roman" w:hAnsi="Times New Roman"/>
          <w:b w:val="0"/>
          <w:sz w:val="22"/>
        </w:rPr>
        <w:t>α         — thermal diffusivity of soil [m²/s]</w:t>
      </w:r>
    </w:p>
    <w:p>
      <w:pPr>
        <w:pStyle w:val="ListBullet"/>
        <w:ind w:left="850"/>
      </w:pPr>
      <w:r>
        <w:rPr>
          <w:rFonts w:ascii="Times New Roman" w:hAnsi="Times New Roman"/>
          <w:b w:val="0"/>
          <w:sz w:val="22"/>
        </w:rPr>
        <w:t>ω         — angular frequency = 2π / (365 · 86,400 s⁻¹)</w:t>
      </w:r>
    </w:p>
    <w:p>
      <w:pPr>
        <w:pStyle w:val="ListBullet"/>
        <w:ind w:left="850"/>
      </w:pPr>
      <w:r>
        <w:rPr>
          <w:rFonts w:ascii="Times New Roman" w:hAnsi="Times New Roman"/>
          <w:b w:val="0"/>
          <w:sz w:val="22"/>
        </w:rPr>
        <w:t>tₘₐˣ     — day of maximum surface temperature (approximately day 196, i.e. 15 July)</w:t>
      </w:r>
    </w:p>
    <w:p>
      <w:pPr>
        <w:pStyle w:val="ListBullet"/>
        <w:ind w:left="850"/>
      </w:pPr>
      <w:r>
        <w:rPr>
          <w:rFonts w:ascii="Times New Roman" w:hAnsi="Times New Roman"/>
          <w:b w:val="0"/>
          <w:sz w:val="22"/>
        </w:rPr>
        <w:t>t          — day of the year under consideration (1–365)</w:t>
      </w:r>
    </w:p>
    <w:p/>
    <w:p>
      <w:pPr>
        <w:jc w:val="both"/>
      </w:pPr>
      <w:r>
        <w:rPr>
          <w:rFonts w:ascii="Times New Roman" w:hAnsi="Times New Roman"/>
          <w:b/>
          <w:i w:val="0"/>
          <w:sz w:val="22"/>
        </w:rPr>
        <w:t>2.2  Damping Depth and Phase Lag</w:t>
      </w:r>
    </w:p>
    <w:p>
      <w:pPr>
        <w:ind w:firstLine="567"/>
        <w:jc w:val="both"/>
      </w:pPr>
      <w:r>
        <w:rPr>
          <w:rFonts w:ascii="Times New Roman" w:hAnsi="Times New Roman"/>
          <w:b w:val="0"/>
          <w:i w:val="0"/>
          <w:sz w:val="22"/>
        </w:rPr>
        <w:t>The damping depth D is the key model parameter — it expresses both how quickly the temperature amplitude decreases with depth and the phase lag of the temperature signal. At depth z = D the amplitude falls to 1/e ≈ 37% of the surface value; at z = 2D it falls to 1/e² ≈ 14%. The phase lag at depth z is z/D radians, which corresponds to (z/D) · 365/(2π) days.</w:t>
      </w:r>
    </w:p>
    <w:p>
      <w:pPr>
        <w:ind w:firstLine="567"/>
        <w:jc w:val="both"/>
      </w:pPr>
      <w:r>
        <w:rPr>
          <w:rFonts w:ascii="Times New Roman" w:hAnsi="Times New Roman"/>
          <w:b w:val="0"/>
          <w:i w:val="0"/>
          <w:sz w:val="22"/>
        </w:rPr>
        <w:t>For soil with thermal diffusivity α = 6.5 × 10⁻⁷ m²/s (see Section 3.1):</w:t>
      </w:r>
    </w:p>
    <w:p>
      <w:pPr>
        <w:jc w:val="both"/>
      </w:pPr>
      <w:r>
        <w:rPr>
          <w:rFonts w:ascii="Times New Roman" w:hAnsi="Times New Roman"/>
          <w:b w:val="0"/>
          <w:i/>
          <w:sz w:val="22"/>
        </w:rPr>
        <w:t xml:space="preserve">    D = √(2 · 6.5 × 10⁻⁷ / (2π / 31,536,000))  ≈  2.55 m</w:t>
      </w:r>
    </w:p>
    <w:p>
      <w:pPr>
        <w:ind w:firstLine="567"/>
        <w:jc w:val="both"/>
      </w:pPr>
      <w:r>
        <w:rPr>
          <w:rFonts w:ascii="Times New Roman" w:hAnsi="Times New Roman"/>
          <w:b w:val="0"/>
          <w:i w:val="0"/>
          <w:sz w:val="22"/>
        </w:rPr>
        <w:t>At burial depth z = 1.20 m:</w:t>
      </w:r>
    </w:p>
    <w:p>
      <w:pPr>
        <w:pStyle w:val="ListBullet"/>
        <w:ind w:left="850"/>
      </w:pPr>
      <w:r>
        <w:rPr>
          <w:rFonts w:ascii="Times New Roman" w:hAnsi="Times New Roman"/>
          <w:b w:val="0"/>
          <w:sz w:val="22"/>
        </w:rPr>
        <w:t>Amplitude damping factor:  exp(−1.20 / 2.55) = exp(−0.470) ≈ 0.625</w:t>
      </w:r>
    </w:p>
    <w:p>
      <w:pPr>
        <w:pStyle w:val="ListBullet"/>
        <w:ind w:left="850"/>
      </w:pPr>
      <w:r>
        <w:rPr>
          <w:rFonts w:ascii="Times New Roman" w:hAnsi="Times New Roman"/>
          <w:b w:val="0"/>
          <w:sz w:val="22"/>
        </w:rPr>
        <w:t>Phase lag:  z/D = 0.470 rad ≈ 27 days  (maximum at depth ≈ 12 August)</w:t>
      </w:r>
    </w:p>
    <w:p>
      <w:pPr>
        <w:pStyle w:val="ListBullet"/>
        <w:ind w:left="850"/>
      </w:pPr>
      <w:r>
        <w:rPr>
          <w:rFonts w:ascii="Times New Roman" w:hAnsi="Times New Roman"/>
          <w:b w:val="0"/>
          <w:sz w:val="22"/>
        </w:rPr>
        <w:t>Combined factor for 15 July:  0.625 · cos(−0.470) = 0.625 · 0.892 ≈ 0.557</w:t>
      </w:r>
    </w:p>
    <w:p/>
    <w:p>
      <w:pPr>
        <w:pStyle w:val="Heading1"/>
        <w:jc w:val="left"/>
      </w:pPr>
      <w:r>
        <w:t>3  Calculation Parameters</w:t>
      </w:r>
    </w:p>
    <w:p>
      <w:pPr>
        <w:jc w:val="both"/>
      </w:pPr>
      <w:r>
        <w:rPr>
          <w:rFonts w:ascii="Times New Roman" w:hAnsi="Times New Roman"/>
          <w:b/>
          <w:i w:val="0"/>
          <w:sz w:val="22"/>
        </w:rPr>
        <w:t>3.1  Thermal Diffusivity of Soil</w:t>
      </w:r>
    </w:p>
    <w:p>
      <w:pPr>
        <w:ind w:firstLine="567"/>
        <w:jc w:val="both"/>
      </w:pPr>
      <w:r>
        <w:rPr>
          <w:rFonts w:ascii="Times New Roman" w:hAnsi="Times New Roman"/>
          <w:b w:val="0"/>
          <w:i w:val="0"/>
          <w:sz w:val="22"/>
        </w:rPr>
        <w:t>Thermal diffusivity α depends on soil composition, moisture content and bulk density. VDI 4640-1:2021 gives a range of 4–9 × 10⁻⁷ m²/s for mineral soils. The pipeline route traverses predominantly Quaternary sediments of glacial and fluvioglacial origin — sandy-loam and loamy-sand soils with moisture contents of 15–25%. The following values are reported in the literature for such soils:</w:t>
      </w:r>
    </w:p>
    <w:tbl>
      <w:tblPr>
        <w:tblStyle w:val="TableGrid"/>
        <w:tblW w:type="auto" w:w="0"/>
        <w:tblLook w:firstColumn="1" w:firstRow="1" w:lastColumn="0" w:lastRow="0" w:noHBand="0" w:noVBand="1" w:val="04A0"/>
      </w:tblPr>
      <w:tblGrid>
        <w:gridCol w:w="3041"/>
        <w:gridCol w:w="3041"/>
        <w:gridCol w:w="3041"/>
      </w:tblGrid>
      <w:tr>
        <w:tc>
          <w:tcPr>
            <w:tcW w:type="dxa" w:w="3041"/>
          </w:tcPr>
          <w:p>
            <w:r>
              <w:rPr>
                <w:rFonts w:ascii="Times New Roman" w:hAnsi="Times New Roman"/>
                <w:b/>
                <w:sz w:val="20"/>
              </w:rPr>
              <w:t>Soil type</w:t>
            </w:r>
          </w:p>
        </w:tc>
        <w:tc>
          <w:tcPr>
            <w:tcW w:type="dxa" w:w="3041"/>
          </w:tcPr>
          <w:p>
            <w:r>
              <w:rPr>
                <w:rFonts w:ascii="Times New Roman" w:hAnsi="Times New Roman"/>
                <w:b/>
                <w:sz w:val="20"/>
              </w:rPr>
              <w:t>α [× 10⁻⁷ m²/s]</w:t>
            </w:r>
          </w:p>
        </w:tc>
        <w:tc>
          <w:tcPr>
            <w:tcW w:type="dxa" w:w="3041"/>
          </w:tcPr>
          <w:p>
            <w:r>
              <w:rPr>
                <w:rFonts w:ascii="Times New Roman" w:hAnsi="Times New Roman"/>
                <w:b/>
                <w:sz w:val="20"/>
              </w:rPr>
              <w:t>Source</w:t>
            </w:r>
          </w:p>
        </w:tc>
      </w:tr>
      <w:tr>
        <w:tc>
          <w:tcPr>
            <w:tcW w:type="dxa" w:w="3041"/>
          </w:tcPr>
          <w:p>
            <w:r>
              <w:rPr>
                <w:rFonts w:ascii="Times New Roman" w:hAnsi="Times New Roman"/>
                <w:sz w:val="20"/>
              </w:rPr>
              <w:t>Dry sand</w:t>
            </w:r>
          </w:p>
        </w:tc>
        <w:tc>
          <w:tcPr>
            <w:tcW w:type="dxa" w:w="3041"/>
          </w:tcPr>
          <w:p>
            <w:r>
              <w:rPr>
                <w:rFonts w:ascii="Times New Roman" w:hAnsi="Times New Roman"/>
                <w:sz w:val="20"/>
              </w:rPr>
              <w:t>2–3</w:t>
            </w:r>
          </w:p>
        </w:tc>
        <w:tc>
          <w:tcPr>
            <w:tcW w:type="dxa" w:w="3041"/>
          </w:tcPr>
          <w:p>
            <w:r>
              <w:rPr>
                <w:rFonts w:ascii="Times New Roman" w:hAnsi="Times New Roman"/>
                <w:sz w:val="20"/>
              </w:rPr>
              <w:t>De Vries (1963)</w:t>
            </w:r>
          </w:p>
        </w:tc>
      </w:tr>
      <w:tr>
        <w:tc>
          <w:tcPr>
            <w:tcW w:type="dxa" w:w="3041"/>
          </w:tcPr>
          <w:p>
            <w:r>
              <w:rPr>
                <w:rFonts w:ascii="Times New Roman" w:hAnsi="Times New Roman"/>
                <w:sz w:val="20"/>
              </w:rPr>
              <w:t>Moist sand</w:t>
            </w:r>
          </w:p>
        </w:tc>
        <w:tc>
          <w:tcPr>
            <w:tcW w:type="dxa" w:w="3041"/>
          </w:tcPr>
          <w:p>
            <w:r>
              <w:rPr>
                <w:rFonts w:ascii="Times New Roman" w:hAnsi="Times New Roman"/>
                <w:sz w:val="20"/>
              </w:rPr>
              <w:t>5–7</w:t>
            </w:r>
          </w:p>
        </w:tc>
        <w:tc>
          <w:tcPr>
            <w:tcW w:type="dxa" w:w="3041"/>
          </w:tcPr>
          <w:p>
            <w:r>
              <w:rPr>
                <w:rFonts w:ascii="Times New Roman" w:hAnsi="Times New Roman"/>
                <w:sz w:val="20"/>
              </w:rPr>
              <w:t>De Vries (1963)</w:t>
            </w:r>
          </w:p>
        </w:tc>
      </w:tr>
      <w:tr>
        <w:tc>
          <w:tcPr>
            <w:tcW w:type="dxa" w:w="3041"/>
          </w:tcPr>
          <w:p>
            <w:r>
              <w:rPr>
                <w:rFonts w:ascii="Times New Roman" w:hAnsi="Times New Roman"/>
                <w:sz w:val="20"/>
              </w:rPr>
              <w:t>Loamy-sand, medium moisture</w:t>
            </w:r>
          </w:p>
        </w:tc>
        <w:tc>
          <w:tcPr>
            <w:tcW w:type="dxa" w:w="3041"/>
          </w:tcPr>
          <w:p>
            <w:r>
              <w:rPr>
                <w:rFonts w:ascii="Times New Roman" w:hAnsi="Times New Roman"/>
                <w:sz w:val="20"/>
              </w:rPr>
              <w:t>6–8</w:t>
            </w:r>
          </w:p>
        </w:tc>
        <w:tc>
          <w:tcPr>
            <w:tcW w:type="dxa" w:w="3041"/>
          </w:tcPr>
          <w:p>
            <w:r>
              <w:rPr>
                <w:rFonts w:ascii="Times New Roman" w:hAnsi="Times New Roman"/>
                <w:sz w:val="20"/>
              </w:rPr>
              <w:t>VDI 4640-1:2021</w:t>
            </w:r>
          </w:p>
        </w:tc>
      </w:tr>
      <w:tr>
        <w:tc>
          <w:tcPr>
            <w:tcW w:type="dxa" w:w="3041"/>
          </w:tcPr>
          <w:p>
            <w:r>
              <w:rPr>
                <w:rFonts w:ascii="Times New Roman" w:hAnsi="Times New Roman"/>
                <w:sz w:val="20"/>
              </w:rPr>
              <w:t>Sandy-loam, medium moisture</w:t>
            </w:r>
          </w:p>
        </w:tc>
        <w:tc>
          <w:tcPr>
            <w:tcW w:type="dxa" w:w="3041"/>
          </w:tcPr>
          <w:p>
            <w:r>
              <w:rPr>
                <w:rFonts w:ascii="Times New Roman" w:hAnsi="Times New Roman"/>
                <w:sz w:val="20"/>
              </w:rPr>
              <w:t>5–7</w:t>
            </w:r>
          </w:p>
        </w:tc>
        <w:tc>
          <w:tcPr>
            <w:tcW w:type="dxa" w:w="3041"/>
          </w:tcPr>
          <w:p>
            <w:r>
              <w:rPr>
                <w:rFonts w:ascii="Times New Roman" w:hAnsi="Times New Roman"/>
                <w:sz w:val="20"/>
              </w:rPr>
              <w:t>VDI 4640-1:2021</w:t>
            </w:r>
          </w:p>
        </w:tc>
      </w:tr>
      <w:tr>
        <w:tc>
          <w:tcPr>
            <w:tcW w:type="dxa" w:w="3041"/>
          </w:tcPr>
          <w:p>
            <w:r>
              <w:rPr>
                <w:rFonts w:ascii="Times New Roman" w:hAnsi="Times New Roman"/>
                <w:sz w:val="20"/>
              </w:rPr>
              <w:t>Saturated clay</w:t>
            </w:r>
          </w:p>
        </w:tc>
        <w:tc>
          <w:tcPr>
            <w:tcW w:type="dxa" w:w="3041"/>
          </w:tcPr>
          <w:p>
            <w:r>
              <w:rPr>
                <w:rFonts w:ascii="Times New Roman" w:hAnsi="Times New Roman"/>
                <w:sz w:val="20"/>
              </w:rPr>
              <w:t>4–6</w:t>
            </w:r>
          </w:p>
        </w:tc>
        <w:tc>
          <w:tcPr>
            <w:tcW w:type="dxa" w:w="3041"/>
          </w:tcPr>
          <w:p>
            <w:r>
              <w:rPr>
                <w:rFonts w:ascii="Times New Roman" w:hAnsi="Times New Roman"/>
                <w:sz w:val="20"/>
              </w:rPr>
              <w:t>De Vries (1963)</w:t>
            </w:r>
          </w:p>
        </w:tc>
      </w:tr>
      <w:tr>
        <w:tc>
          <w:tcPr>
            <w:tcW w:type="dxa" w:w="3041"/>
          </w:tcPr>
          <w:p>
            <w:r>
              <w:rPr>
                <w:rFonts w:ascii="Times New Roman" w:hAnsi="Times New Roman"/>
                <w:sz w:val="20"/>
              </w:rPr>
              <w:t>Adopted design value</w:t>
            </w:r>
          </w:p>
        </w:tc>
        <w:tc>
          <w:tcPr>
            <w:tcW w:type="dxa" w:w="3041"/>
          </w:tcPr>
          <w:p>
            <w:r>
              <w:rPr>
                <w:rFonts w:ascii="Times New Roman" w:hAnsi="Times New Roman"/>
                <w:sz w:val="20"/>
              </w:rPr>
              <w:t>6.5</w:t>
            </w:r>
          </w:p>
        </w:tc>
        <w:tc>
          <w:tcPr>
            <w:tcW w:type="dxa" w:w="3041"/>
          </w:tcPr>
          <w:p>
            <w:r>
              <w:rPr>
                <w:rFonts w:ascii="Times New Roman" w:hAnsi="Times New Roman"/>
                <w:sz w:val="20"/>
              </w:rPr>
              <w:t>conservative mid-range</w:t>
            </w:r>
          </w:p>
        </w:tc>
      </w:tr>
    </w:tbl>
    <w:p/>
    <w:p>
      <w:pPr>
        <w:ind w:firstLine="567"/>
        <w:jc w:val="both"/>
      </w:pPr>
      <w:r>
        <w:rPr>
          <w:rFonts w:ascii="Times New Roman" w:hAnsi="Times New Roman"/>
          <w:b w:val="0"/>
          <w:i w:val="0"/>
          <w:sz w:val="22"/>
        </w:rPr>
        <w:t>The adopted value α = 6.5 × 10⁻⁷ m²/s corresponds to the mid-range for moderately moist sandy-loam soils and is consistent with values used in geothermal cooling projects in northern Europe (ISO 13370:2017). The sensitivity analysis in Section 4 shows that varying α by ±30% changes the resulting temperature by less than ±1.5°C.</w:t>
      </w:r>
    </w:p>
    <w:p/>
    <w:p>
      <w:pPr>
        <w:jc w:val="both"/>
      </w:pPr>
      <w:r>
        <w:rPr>
          <w:rFonts w:ascii="Times New Roman" w:hAnsi="Times New Roman"/>
          <w:b/>
          <w:i w:val="0"/>
          <w:sz w:val="22"/>
        </w:rPr>
        <w:t>3.2  Pipeline Burial Depth</w:t>
      </w:r>
    </w:p>
    <w:p>
      <w:pPr>
        <w:ind w:firstLine="567"/>
        <w:jc w:val="both"/>
      </w:pPr>
      <w:r>
        <w:rPr>
          <w:rFonts w:ascii="Times New Roman" w:hAnsi="Times New Roman"/>
          <w:b w:val="0"/>
          <w:i w:val="0"/>
          <w:sz w:val="22"/>
        </w:rPr>
        <w:t>The minimum cover from ground surface to pipe crown is standardly 1.0 m under agricultural land per EN 1594:2013 and DVGW G 463:2021 (1.1 m under cultivated land, typically 1.5 m under roads and railways). For a typical pipe diameter of DN 1000–1200 (outside diameter 1.020–1.220 m) the pipe centreline lies at approximately 1.50–1.70 m depth. For the conservative (thermally unfavourable) summer scenario, the calculation is performed for z = 1.20 m, corresponding to a smaller diameter (DN 800) or minimum cover situation. Soil temperature decreases with depth — the z = 1.20 m calculation therefore yields higher (more conservative) values than a calculation at z = 1.60 m.</w:t>
      </w:r>
    </w:p>
    <w:p/>
    <w:p>
      <w:pPr>
        <w:jc w:val="both"/>
      </w:pPr>
      <w:r>
        <w:rPr>
          <w:rFonts w:ascii="Times New Roman" w:hAnsi="Times New Roman"/>
          <w:b/>
          <w:i w:val="0"/>
          <w:sz w:val="22"/>
        </w:rPr>
        <w:t>3.3  Climatological Input Data</w:t>
      </w:r>
    </w:p>
    <w:p>
      <w:pPr>
        <w:ind w:firstLine="567"/>
        <w:jc w:val="both"/>
      </w:pPr>
      <w:r>
        <w:rPr>
          <w:rFonts w:ascii="Times New Roman" w:hAnsi="Times New Roman"/>
          <w:b w:val="0"/>
          <w:i w:val="0"/>
          <w:sz w:val="22"/>
        </w:rPr>
        <w:t>Mean annual air temperatures and semi-amplitudes are taken from WMO 1991–2020 climate normals published by the national meteorological services. The 1991–2020 climatological normal was adopted as the new WMO international reference period from 1 January 2021. Representative stations are selected along the pipeline route axis:</w:t>
      </w:r>
    </w:p>
    <w:tbl>
      <w:tblPr>
        <w:tblStyle w:val="TableGrid"/>
        <w:tblW w:type="auto" w:w="0"/>
        <w:tblLook w:firstColumn="1" w:firstRow="1" w:lastColumn="0" w:lastRow="0" w:noHBand="0" w:noVBand="1" w:val="04A0"/>
      </w:tblPr>
      <w:tblGrid>
        <w:gridCol w:w="1303"/>
        <w:gridCol w:w="1303"/>
        <w:gridCol w:w="1303"/>
        <w:gridCol w:w="1303"/>
        <w:gridCol w:w="1303"/>
        <w:gridCol w:w="1303"/>
        <w:gridCol w:w="1303"/>
      </w:tblGrid>
      <w:tr>
        <w:tc>
          <w:tcPr>
            <w:tcW w:type="dxa" w:w="1303"/>
          </w:tcPr>
          <w:p>
            <w:r>
              <w:rPr>
                <w:rFonts w:ascii="Times New Roman" w:hAnsi="Times New Roman"/>
                <w:b/>
                <w:sz w:val="20"/>
              </w:rPr>
              <w:t>Country / location</w:t>
            </w:r>
          </w:p>
        </w:tc>
        <w:tc>
          <w:tcPr>
            <w:tcW w:type="dxa" w:w="1303"/>
          </w:tcPr>
          <w:p>
            <w:r>
              <w:rPr>
                <w:rFonts w:ascii="Times New Roman" w:hAnsi="Times New Roman"/>
                <w:b/>
                <w:sz w:val="20"/>
              </w:rPr>
              <w:t>Lat.</w:t>
            </w:r>
          </w:p>
        </w:tc>
        <w:tc>
          <w:tcPr>
            <w:tcW w:type="dxa" w:w="1303"/>
          </w:tcPr>
          <w:p>
            <w:r>
              <w:rPr>
                <w:rFonts w:ascii="Times New Roman" w:hAnsi="Times New Roman"/>
                <w:b/>
                <w:sz w:val="20"/>
              </w:rPr>
              <w:t>Station</w:t>
            </w:r>
          </w:p>
        </w:tc>
        <w:tc>
          <w:tcPr>
            <w:tcW w:type="dxa" w:w="1303"/>
          </w:tcPr>
          <w:p>
            <w:r>
              <w:rPr>
                <w:rFonts w:ascii="Times New Roman" w:hAnsi="Times New Roman"/>
                <w:b/>
                <w:sz w:val="20"/>
              </w:rPr>
              <w:t>T̅ air [°C]</w:t>
            </w:r>
          </w:p>
        </w:tc>
        <w:tc>
          <w:tcPr>
            <w:tcW w:type="dxa" w:w="1303"/>
          </w:tcPr>
          <w:p>
            <w:r>
              <w:rPr>
                <w:rFonts w:ascii="Times New Roman" w:hAnsi="Times New Roman"/>
                <w:b/>
                <w:sz w:val="20"/>
              </w:rPr>
              <w:t>Tᴵᴵᴸⱼ [°C]</w:t>
            </w:r>
          </w:p>
        </w:tc>
        <w:tc>
          <w:tcPr>
            <w:tcW w:type="dxa" w:w="1303"/>
          </w:tcPr>
          <w:p>
            <w:r>
              <w:rPr>
                <w:rFonts w:ascii="Times New Roman" w:hAnsi="Times New Roman"/>
                <w:b/>
                <w:sz w:val="20"/>
              </w:rPr>
              <w:t>Tᴶᵃⁿ [°C]</w:t>
            </w:r>
          </w:p>
        </w:tc>
        <w:tc>
          <w:tcPr>
            <w:tcW w:type="dxa" w:w="1303"/>
          </w:tcPr>
          <w:p>
            <w:r>
              <w:rPr>
                <w:rFonts w:ascii="Times New Roman" w:hAnsi="Times New Roman"/>
                <w:b/>
                <w:sz w:val="20"/>
              </w:rPr>
              <w:t>Aₛ [°C]</w:t>
            </w:r>
          </w:p>
        </w:tc>
      </w:tr>
      <w:tr>
        <w:tc>
          <w:tcPr>
            <w:tcW w:type="dxa" w:w="1303"/>
          </w:tcPr>
          <w:p>
            <w:r>
              <w:rPr>
                <w:rFonts w:ascii="Times New Roman" w:hAnsi="Times New Roman"/>
                <w:sz w:val="20"/>
              </w:rPr>
              <w:t>Finland (N of Helsinki)</w:t>
            </w:r>
          </w:p>
        </w:tc>
        <w:tc>
          <w:tcPr>
            <w:tcW w:type="dxa" w:w="1303"/>
          </w:tcPr>
          <w:p>
            <w:r>
              <w:rPr>
                <w:rFonts w:ascii="Times New Roman" w:hAnsi="Times New Roman"/>
                <w:sz w:val="20"/>
              </w:rPr>
              <w:t>60.5°N</w:t>
            </w:r>
          </w:p>
        </w:tc>
        <w:tc>
          <w:tcPr>
            <w:tcW w:type="dxa" w:w="1303"/>
          </w:tcPr>
          <w:p>
            <w:r>
              <w:rPr>
                <w:rFonts w:ascii="Times New Roman" w:hAnsi="Times New Roman"/>
                <w:sz w:val="20"/>
              </w:rPr>
              <w:t>Vantaa (FMI)</w:t>
            </w:r>
          </w:p>
        </w:tc>
        <w:tc>
          <w:tcPr>
            <w:tcW w:type="dxa" w:w="1303"/>
          </w:tcPr>
          <w:p>
            <w:r>
              <w:rPr>
                <w:rFonts w:ascii="Times New Roman" w:hAnsi="Times New Roman"/>
                <w:sz w:val="20"/>
              </w:rPr>
              <w:t>5.5</w:t>
            </w:r>
          </w:p>
        </w:tc>
        <w:tc>
          <w:tcPr>
            <w:tcW w:type="dxa" w:w="1303"/>
          </w:tcPr>
          <w:p>
            <w:r>
              <w:rPr>
                <w:rFonts w:ascii="Times New Roman" w:hAnsi="Times New Roman"/>
                <w:sz w:val="20"/>
              </w:rPr>
              <w:t>17.5</w:t>
            </w:r>
          </w:p>
        </w:tc>
        <w:tc>
          <w:tcPr>
            <w:tcW w:type="dxa" w:w="1303"/>
          </w:tcPr>
          <w:p>
            <w:r>
              <w:rPr>
                <w:rFonts w:ascii="Times New Roman" w:hAnsi="Times New Roman"/>
                <w:sz w:val="20"/>
              </w:rPr>
              <w:t>−5.5</w:t>
            </w:r>
          </w:p>
        </w:tc>
        <w:tc>
          <w:tcPr>
            <w:tcW w:type="dxa" w:w="1303"/>
          </w:tcPr>
          <w:p>
            <w:r>
              <w:rPr>
                <w:rFonts w:ascii="Times New Roman" w:hAnsi="Times New Roman"/>
                <w:sz w:val="20"/>
              </w:rPr>
              <w:t>11.5</w:t>
            </w:r>
          </w:p>
        </w:tc>
      </w:tr>
      <w:tr>
        <w:tc>
          <w:tcPr>
            <w:tcW w:type="dxa" w:w="1303"/>
          </w:tcPr>
          <w:p>
            <w:r>
              <w:rPr>
                <w:rFonts w:ascii="Times New Roman" w:hAnsi="Times New Roman"/>
                <w:sz w:val="20"/>
              </w:rPr>
              <w:t>Estonia</w:t>
            </w:r>
          </w:p>
        </w:tc>
        <w:tc>
          <w:tcPr>
            <w:tcW w:type="dxa" w:w="1303"/>
          </w:tcPr>
          <w:p>
            <w:r>
              <w:rPr>
                <w:rFonts w:ascii="Times New Roman" w:hAnsi="Times New Roman"/>
                <w:sz w:val="20"/>
              </w:rPr>
              <w:t>59.4°N</w:t>
            </w:r>
          </w:p>
        </w:tc>
        <w:tc>
          <w:tcPr>
            <w:tcW w:type="dxa" w:w="1303"/>
          </w:tcPr>
          <w:p>
            <w:r>
              <w:rPr>
                <w:rFonts w:ascii="Times New Roman" w:hAnsi="Times New Roman"/>
                <w:sz w:val="20"/>
              </w:rPr>
              <w:t>Tallinn-Harku (EMHI)</w:t>
            </w:r>
          </w:p>
        </w:tc>
        <w:tc>
          <w:tcPr>
            <w:tcW w:type="dxa" w:w="1303"/>
          </w:tcPr>
          <w:p>
            <w:r>
              <w:rPr>
                <w:rFonts w:ascii="Times New Roman" w:hAnsi="Times New Roman"/>
                <w:sz w:val="20"/>
              </w:rPr>
              <w:t>7.0</w:t>
            </w:r>
          </w:p>
        </w:tc>
        <w:tc>
          <w:tcPr>
            <w:tcW w:type="dxa" w:w="1303"/>
          </w:tcPr>
          <w:p>
            <w:r>
              <w:rPr>
                <w:rFonts w:ascii="Times New Roman" w:hAnsi="Times New Roman"/>
                <w:sz w:val="20"/>
              </w:rPr>
              <w:t>18.3</w:t>
            </w:r>
          </w:p>
        </w:tc>
        <w:tc>
          <w:tcPr>
            <w:tcW w:type="dxa" w:w="1303"/>
          </w:tcPr>
          <w:p>
            <w:r>
              <w:rPr>
                <w:rFonts w:ascii="Times New Roman" w:hAnsi="Times New Roman"/>
                <w:sz w:val="20"/>
              </w:rPr>
              <w:t>−2.3</w:t>
            </w:r>
          </w:p>
        </w:tc>
        <w:tc>
          <w:tcPr>
            <w:tcW w:type="dxa" w:w="1303"/>
          </w:tcPr>
          <w:p>
            <w:r>
              <w:rPr>
                <w:rFonts w:ascii="Times New Roman" w:hAnsi="Times New Roman"/>
                <w:sz w:val="20"/>
              </w:rPr>
              <w:t>10.8</w:t>
            </w:r>
          </w:p>
        </w:tc>
      </w:tr>
      <w:tr>
        <w:tc>
          <w:tcPr>
            <w:tcW w:type="dxa" w:w="1303"/>
          </w:tcPr>
          <w:p>
            <w:r>
              <w:rPr>
                <w:rFonts w:ascii="Times New Roman" w:hAnsi="Times New Roman"/>
                <w:sz w:val="20"/>
              </w:rPr>
              <w:t>Latvia</w:t>
            </w:r>
          </w:p>
        </w:tc>
        <w:tc>
          <w:tcPr>
            <w:tcW w:type="dxa" w:w="1303"/>
          </w:tcPr>
          <w:p>
            <w:r>
              <w:rPr>
                <w:rFonts w:ascii="Times New Roman" w:hAnsi="Times New Roman"/>
                <w:sz w:val="20"/>
              </w:rPr>
              <w:t>56.9°N</w:t>
            </w:r>
          </w:p>
        </w:tc>
        <w:tc>
          <w:tcPr>
            <w:tcW w:type="dxa" w:w="1303"/>
          </w:tcPr>
          <w:p>
            <w:r>
              <w:rPr>
                <w:rFonts w:ascii="Times New Roman" w:hAnsi="Times New Roman"/>
                <w:sz w:val="20"/>
              </w:rPr>
              <w:t>Riga (LVĢMC)</w:t>
            </w:r>
          </w:p>
        </w:tc>
        <w:tc>
          <w:tcPr>
            <w:tcW w:type="dxa" w:w="1303"/>
          </w:tcPr>
          <w:p>
            <w:r>
              <w:rPr>
                <w:rFonts w:ascii="Times New Roman" w:hAnsi="Times New Roman"/>
                <w:sz w:val="20"/>
              </w:rPr>
              <w:t>7.5</w:t>
            </w:r>
          </w:p>
        </w:tc>
        <w:tc>
          <w:tcPr>
            <w:tcW w:type="dxa" w:w="1303"/>
          </w:tcPr>
          <w:p>
            <w:r>
              <w:rPr>
                <w:rFonts w:ascii="Times New Roman" w:hAnsi="Times New Roman"/>
                <w:sz w:val="20"/>
              </w:rPr>
              <w:t>18.8</w:t>
            </w:r>
          </w:p>
        </w:tc>
        <w:tc>
          <w:tcPr>
            <w:tcW w:type="dxa" w:w="1303"/>
          </w:tcPr>
          <w:p>
            <w:r>
              <w:rPr>
                <w:rFonts w:ascii="Times New Roman" w:hAnsi="Times New Roman"/>
                <w:sz w:val="20"/>
              </w:rPr>
              <w:t>−2.8</w:t>
            </w:r>
          </w:p>
        </w:tc>
        <w:tc>
          <w:tcPr>
            <w:tcW w:type="dxa" w:w="1303"/>
          </w:tcPr>
          <w:p>
            <w:r>
              <w:rPr>
                <w:rFonts w:ascii="Times New Roman" w:hAnsi="Times New Roman"/>
                <w:sz w:val="20"/>
              </w:rPr>
              <w:t>10.8</w:t>
            </w:r>
          </w:p>
        </w:tc>
      </w:tr>
      <w:tr>
        <w:tc>
          <w:tcPr>
            <w:tcW w:type="dxa" w:w="1303"/>
          </w:tcPr>
          <w:p>
            <w:r>
              <w:rPr>
                <w:rFonts w:ascii="Times New Roman" w:hAnsi="Times New Roman"/>
                <w:sz w:val="20"/>
              </w:rPr>
              <w:t>Lithuania</w:t>
            </w:r>
          </w:p>
        </w:tc>
        <w:tc>
          <w:tcPr>
            <w:tcW w:type="dxa" w:w="1303"/>
          </w:tcPr>
          <w:p>
            <w:r>
              <w:rPr>
                <w:rFonts w:ascii="Times New Roman" w:hAnsi="Times New Roman"/>
                <w:sz w:val="20"/>
              </w:rPr>
              <w:t>54.7°N</w:t>
            </w:r>
          </w:p>
        </w:tc>
        <w:tc>
          <w:tcPr>
            <w:tcW w:type="dxa" w:w="1303"/>
          </w:tcPr>
          <w:p>
            <w:r>
              <w:rPr>
                <w:rFonts w:ascii="Times New Roman" w:hAnsi="Times New Roman"/>
                <w:sz w:val="20"/>
              </w:rPr>
              <w:t>Vilnius (LHMT)</w:t>
            </w:r>
          </w:p>
        </w:tc>
        <w:tc>
          <w:tcPr>
            <w:tcW w:type="dxa" w:w="1303"/>
          </w:tcPr>
          <w:p>
            <w:r>
              <w:rPr>
                <w:rFonts w:ascii="Times New Roman" w:hAnsi="Times New Roman"/>
                <w:sz w:val="20"/>
              </w:rPr>
              <w:t>7.5</w:t>
            </w:r>
          </w:p>
        </w:tc>
        <w:tc>
          <w:tcPr>
            <w:tcW w:type="dxa" w:w="1303"/>
          </w:tcPr>
          <w:p>
            <w:r>
              <w:rPr>
                <w:rFonts w:ascii="Times New Roman" w:hAnsi="Times New Roman"/>
                <w:sz w:val="20"/>
              </w:rPr>
              <w:t>19.2</w:t>
            </w:r>
          </w:p>
        </w:tc>
        <w:tc>
          <w:tcPr>
            <w:tcW w:type="dxa" w:w="1303"/>
          </w:tcPr>
          <w:p>
            <w:r>
              <w:rPr>
                <w:rFonts w:ascii="Times New Roman" w:hAnsi="Times New Roman"/>
                <w:sz w:val="20"/>
              </w:rPr>
              <w:t>−3.1</w:t>
            </w:r>
          </w:p>
        </w:tc>
        <w:tc>
          <w:tcPr>
            <w:tcW w:type="dxa" w:w="1303"/>
          </w:tcPr>
          <w:p>
            <w:r>
              <w:rPr>
                <w:rFonts w:ascii="Times New Roman" w:hAnsi="Times New Roman"/>
                <w:sz w:val="20"/>
              </w:rPr>
              <w:t>11.3</w:t>
            </w:r>
          </w:p>
        </w:tc>
      </w:tr>
      <w:tr>
        <w:tc>
          <w:tcPr>
            <w:tcW w:type="dxa" w:w="1303"/>
          </w:tcPr>
          <w:p>
            <w:r>
              <w:rPr>
                <w:rFonts w:ascii="Times New Roman" w:hAnsi="Times New Roman"/>
                <w:sz w:val="20"/>
              </w:rPr>
              <w:t>Poland</w:t>
            </w:r>
          </w:p>
        </w:tc>
        <w:tc>
          <w:tcPr>
            <w:tcW w:type="dxa" w:w="1303"/>
          </w:tcPr>
          <w:p>
            <w:r>
              <w:rPr>
                <w:rFonts w:ascii="Times New Roman" w:hAnsi="Times New Roman"/>
                <w:sz w:val="20"/>
              </w:rPr>
              <w:t>53.0°N</w:t>
            </w:r>
          </w:p>
        </w:tc>
        <w:tc>
          <w:tcPr>
            <w:tcW w:type="dxa" w:w="1303"/>
          </w:tcPr>
          <w:p>
            <w:r>
              <w:rPr>
                <w:rFonts w:ascii="Times New Roman" w:hAnsi="Times New Roman"/>
                <w:sz w:val="20"/>
              </w:rPr>
              <w:t>Warszawa (IMGW)</w:t>
            </w:r>
          </w:p>
        </w:tc>
        <w:tc>
          <w:tcPr>
            <w:tcW w:type="dxa" w:w="1303"/>
          </w:tcPr>
          <w:p>
            <w:r>
              <w:rPr>
                <w:rFonts w:ascii="Times New Roman" w:hAnsi="Times New Roman"/>
                <w:sz w:val="20"/>
              </w:rPr>
              <w:t>9.0</w:t>
            </w:r>
          </w:p>
        </w:tc>
        <w:tc>
          <w:tcPr>
            <w:tcW w:type="dxa" w:w="1303"/>
          </w:tcPr>
          <w:p>
            <w:r>
              <w:rPr>
                <w:rFonts w:ascii="Times New Roman" w:hAnsi="Times New Roman"/>
                <w:sz w:val="20"/>
              </w:rPr>
              <w:t>19.2</w:t>
            </w:r>
          </w:p>
        </w:tc>
        <w:tc>
          <w:tcPr>
            <w:tcW w:type="dxa" w:w="1303"/>
          </w:tcPr>
          <w:p>
            <w:r>
              <w:rPr>
                <w:rFonts w:ascii="Times New Roman" w:hAnsi="Times New Roman"/>
                <w:sz w:val="20"/>
              </w:rPr>
              <w:t>−0.8</w:t>
            </w:r>
          </w:p>
        </w:tc>
        <w:tc>
          <w:tcPr>
            <w:tcW w:type="dxa" w:w="1303"/>
          </w:tcPr>
          <w:p>
            <w:r>
              <w:rPr>
                <w:rFonts w:ascii="Times New Roman" w:hAnsi="Times New Roman"/>
                <w:sz w:val="20"/>
              </w:rPr>
              <w:t>10.5</w:t>
            </w:r>
          </w:p>
        </w:tc>
      </w:tr>
      <w:tr>
        <w:tc>
          <w:tcPr>
            <w:tcW w:type="dxa" w:w="1303"/>
          </w:tcPr>
          <w:p>
            <w:r>
              <w:rPr>
                <w:rFonts w:ascii="Times New Roman" w:hAnsi="Times New Roman"/>
                <w:sz w:val="20"/>
              </w:rPr>
              <w:t>Germany (Berlin)</w:t>
            </w:r>
          </w:p>
        </w:tc>
        <w:tc>
          <w:tcPr>
            <w:tcW w:type="dxa" w:w="1303"/>
          </w:tcPr>
          <w:p>
            <w:r>
              <w:rPr>
                <w:rFonts w:ascii="Times New Roman" w:hAnsi="Times New Roman"/>
                <w:sz w:val="20"/>
              </w:rPr>
              <w:t>52.5°N</w:t>
            </w:r>
          </w:p>
        </w:tc>
        <w:tc>
          <w:tcPr>
            <w:tcW w:type="dxa" w:w="1303"/>
          </w:tcPr>
          <w:p>
            <w:r>
              <w:rPr>
                <w:rFonts w:ascii="Times New Roman" w:hAnsi="Times New Roman"/>
                <w:sz w:val="20"/>
              </w:rPr>
              <w:t>Berlin-Dahlem (DWD)</w:t>
            </w:r>
          </w:p>
        </w:tc>
        <w:tc>
          <w:tcPr>
            <w:tcW w:type="dxa" w:w="1303"/>
          </w:tcPr>
          <w:p>
            <w:r>
              <w:rPr>
                <w:rFonts w:ascii="Times New Roman" w:hAnsi="Times New Roman"/>
                <w:sz w:val="20"/>
              </w:rPr>
              <w:t>10.5</w:t>
            </w:r>
          </w:p>
        </w:tc>
        <w:tc>
          <w:tcPr>
            <w:tcW w:type="dxa" w:w="1303"/>
          </w:tcPr>
          <w:p>
            <w:r>
              <w:rPr>
                <w:rFonts w:ascii="Times New Roman" w:hAnsi="Times New Roman"/>
                <w:sz w:val="20"/>
              </w:rPr>
              <w:t>19.8</w:t>
            </w:r>
          </w:p>
        </w:tc>
        <w:tc>
          <w:tcPr>
            <w:tcW w:type="dxa" w:w="1303"/>
          </w:tcPr>
          <w:p>
            <w:r>
              <w:rPr>
                <w:rFonts w:ascii="Times New Roman" w:hAnsi="Times New Roman"/>
                <w:sz w:val="20"/>
              </w:rPr>
              <w:t>0.2</w:t>
            </w:r>
          </w:p>
        </w:tc>
        <w:tc>
          <w:tcPr>
            <w:tcW w:type="dxa" w:w="1303"/>
          </w:tcPr>
          <w:p>
            <w:r>
              <w:rPr>
                <w:rFonts w:ascii="Times New Roman" w:hAnsi="Times New Roman"/>
                <w:sz w:val="20"/>
              </w:rPr>
              <w:t>9.8</w:t>
            </w:r>
          </w:p>
        </w:tc>
      </w:tr>
    </w:tbl>
    <w:p/>
    <w:p>
      <w:pPr>
        <w:ind w:firstLine="567"/>
        <w:jc w:val="both"/>
      </w:pPr>
      <w:r>
        <w:rPr>
          <w:rFonts w:ascii="Times New Roman" w:hAnsi="Times New Roman"/>
          <w:b w:val="0"/>
          <w:i w:val="0"/>
          <w:sz w:val="22"/>
        </w:rPr>
        <w:t>Note: Tᴵᴵᴸⱼ and Tᴶᵃⁿ are monthly mean air temperatures from the 1991–2020 normal. Aₛ = (Tᴵᴵᴸⱼ − Tᴶᵃⁿ) / 2. Soil surface temperature is approximately 1–2°C higher than air temperature due to solar radiation absorption; this correction is implicitly accounted for by rounding the results upward.</w:t>
      </w:r>
    </w:p>
    <w:p/>
    <w:p>
      <w:pPr>
        <w:pStyle w:val="Heading1"/>
        <w:jc w:val="left"/>
      </w:pPr>
      <w:r>
        <w:t>4  Results and Sensitivity Analysis</w:t>
      </w:r>
    </w:p>
    <w:p>
      <w:pPr>
        <w:jc w:val="both"/>
      </w:pPr>
      <w:r>
        <w:rPr>
          <w:rFonts w:ascii="Times New Roman" w:hAnsi="Times New Roman"/>
          <w:b/>
          <w:i w:val="0"/>
          <w:sz w:val="22"/>
        </w:rPr>
        <w:t>4.1  Resulting Temperatures for 15 July</w:t>
      </w:r>
    </w:p>
    <w:p>
      <w:pPr>
        <w:ind w:firstLine="567"/>
        <w:jc w:val="both"/>
      </w:pPr>
      <w:r>
        <w:rPr>
          <w:rFonts w:ascii="Times New Roman" w:hAnsi="Times New Roman"/>
          <w:b w:val="0"/>
          <w:i w:val="0"/>
          <w:sz w:val="22"/>
        </w:rPr>
        <w:t>Calculation of T(z = 1.20 m; t = day 196) = T̅ + Aₛ · 0.557:</w:t>
      </w:r>
    </w:p>
    <w:tbl>
      <w:tblPr>
        <w:tblStyle w:val="TableGrid"/>
        <w:tblW w:type="auto" w:w="0"/>
        <w:tblLook w:firstColumn="1" w:firstRow="1" w:lastColumn="0" w:lastRow="0" w:noHBand="0" w:noVBand="1" w:val="04A0"/>
      </w:tblPr>
      <w:tblGrid>
        <w:gridCol w:w="1824"/>
        <w:gridCol w:w="1824"/>
        <w:gridCol w:w="1824"/>
        <w:gridCol w:w="1824"/>
        <w:gridCol w:w="1824"/>
      </w:tblGrid>
      <w:tr>
        <w:tc>
          <w:tcPr>
            <w:tcW w:type="dxa" w:w="1824"/>
          </w:tcPr>
          <w:p>
            <w:r>
              <w:rPr>
                <w:rFonts w:ascii="Times New Roman" w:hAnsi="Times New Roman"/>
                <w:b/>
                <w:sz w:val="20"/>
              </w:rPr>
              <w:t>Country / location</w:t>
            </w:r>
          </w:p>
        </w:tc>
        <w:tc>
          <w:tcPr>
            <w:tcW w:type="dxa" w:w="1824"/>
          </w:tcPr>
          <w:p>
            <w:r>
              <w:rPr>
                <w:rFonts w:ascii="Times New Roman" w:hAnsi="Times New Roman"/>
                <w:b/>
                <w:sz w:val="20"/>
              </w:rPr>
              <w:t>T̅ [°C]</w:t>
            </w:r>
          </w:p>
        </w:tc>
        <w:tc>
          <w:tcPr>
            <w:tcW w:type="dxa" w:w="1824"/>
          </w:tcPr>
          <w:p>
            <w:r>
              <w:rPr>
                <w:rFonts w:ascii="Times New Roman" w:hAnsi="Times New Roman"/>
                <w:b/>
                <w:sz w:val="20"/>
              </w:rPr>
              <w:t>Aₛ [°C]</w:t>
            </w:r>
          </w:p>
        </w:tc>
        <w:tc>
          <w:tcPr>
            <w:tcW w:type="dxa" w:w="1824"/>
          </w:tcPr>
          <w:p>
            <w:r>
              <w:rPr>
                <w:rFonts w:ascii="Times New Roman" w:hAnsi="Times New Roman"/>
                <w:b/>
                <w:sz w:val="20"/>
              </w:rPr>
              <w:t>T calculated [°C]</w:t>
            </w:r>
          </w:p>
        </w:tc>
        <w:tc>
          <w:tcPr>
            <w:tcW w:type="dxa" w:w="1824"/>
          </w:tcPr>
          <w:p>
            <w:r>
              <w:rPr>
                <w:rFonts w:ascii="Times New Roman" w:hAnsi="Times New Roman"/>
                <w:b/>
                <w:sz w:val="20"/>
              </w:rPr>
              <w:t>T design [°C]</w:t>
            </w:r>
          </w:p>
        </w:tc>
      </w:tr>
      <w:tr>
        <w:tc>
          <w:tcPr>
            <w:tcW w:type="dxa" w:w="1824"/>
          </w:tcPr>
          <w:p>
            <w:r>
              <w:rPr>
                <w:rFonts w:ascii="Times New Roman" w:hAnsi="Times New Roman"/>
                <w:sz w:val="20"/>
              </w:rPr>
              <w:t>Finland (N of Helsinki, ~60.5°N)</w:t>
            </w:r>
          </w:p>
        </w:tc>
        <w:tc>
          <w:tcPr>
            <w:tcW w:type="dxa" w:w="1824"/>
          </w:tcPr>
          <w:p>
            <w:r>
              <w:rPr>
                <w:rFonts w:ascii="Times New Roman" w:hAnsi="Times New Roman"/>
                <w:sz w:val="20"/>
              </w:rPr>
              <w:t>5.5</w:t>
            </w:r>
          </w:p>
        </w:tc>
        <w:tc>
          <w:tcPr>
            <w:tcW w:type="dxa" w:w="1824"/>
          </w:tcPr>
          <w:p>
            <w:r>
              <w:rPr>
                <w:rFonts w:ascii="Times New Roman" w:hAnsi="Times New Roman"/>
                <w:sz w:val="20"/>
              </w:rPr>
              <w:t>11.5</w:t>
            </w:r>
          </w:p>
        </w:tc>
        <w:tc>
          <w:tcPr>
            <w:tcW w:type="dxa" w:w="1824"/>
          </w:tcPr>
          <w:p>
            <w:r>
              <w:rPr>
                <w:rFonts w:ascii="Times New Roman" w:hAnsi="Times New Roman"/>
                <w:sz w:val="20"/>
              </w:rPr>
              <w:t>11.9</w:t>
            </w:r>
          </w:p>
        </w:tc>
        <w:tc>
          <w:tcPr>
            <w:tcW w:type="dxa" w:w="1824"/>
          </w:tcPr>
          <w:p>
            <w:r>
              <w:rPr>
                <w:rFonts w:ascii="Times New Roman" w:hAnsi="Times New Roman"/>
                <w:sz w:val="20"/>
              </w:rPr>
              <w:t>12</w:t>
            </w:r>
          </w:p>
        </w:tc>
      </w:tr>
      <w:tr>
        <w:tc>
          <w:tcPr>
            <w:tcW w:type="dxa" w:w="1824"/>
          </w:tcPr>
          <w:p>
            <w:r>
              <w:rPr>
                <w:rFonts w:ascii="Times New Roman" w:hAnsi="Times New Roman"/>
                <w:sz w:val="20"/>
              </w:rPr>
              <w:t>Estonia (Tallinn region, ~59.4°N)</w:t>
            </w:r>
          </w:p>
        </w:tc>
        <w:tc>
          <w:tcPr>
            <w:tcW w:type="dxa" w:w="1824"/>
          </w:tcPr>
          <w:p>
            <w:r>
              <w:rPr>
                <w:rFonts w:ascii="Times New Roman" w:hAnsi="Times New Roman"/>
                <w:sz w:val="20"/>
              </w:rPr>
              <w:t>7.0</w:t>
            </w:r>
          </w:p>
        </w:tc>
        <w:tc>
          <w:tcPr>
            <w:tcW w:type="dxa" w:w="1824"/>
          </w:tcPr>
          <w:p>
            <w:r>
              <w:rPr>
                <w:rFonts w:ascii="Times New Roman" w:hAnsi="Times New Roman"/>
                <w:sz w:val="20"/>
              </w:rPr>
              <w:t>10.8</w:t>
            </w:r>
          </w:p>
        </w:tc>
        <w:tc>
          <w:tcPr>
            <w:tcW w:type="dxa" w:w="1824"/>
          </w:tcPr>
          <w:p>
            <w:r>
              <w:rPr>
                <w:rFonts w:ascii="Times New Roman" w:hAnsi="Times New Roman"/>
                <w:sz w:val="20"/>
              </w:rPr>
              <w:t>13.0</w:t>
            </w:r>
          </w:p>
        </w:tc>
        <w:tc>
          <w:tcPr>
            <w:tcW w:type="dxa" w:w="1824"/>
          </w:tcPr>
          <w:p>
            <w:r>
              <w:rPr>
                <w:rFonts w:ascii="Times New Roman" w:hAnsi="Times New Roman"/>
                <w:sz w:val="20"/>
              </w:rPr>
              <w:t>13</w:t>
            </w:r>
          </w:p>
        </w:tc>
      </w:tr>
      <w:tr>
        <w:tc>
          <w:tcPr>
            <w:tcW w:type="dxa" w:w="1824"/>
          </w:tcPr>
          <w:p>
            <w:r>
              <w:rPr>
                <w:rFonts w:ascii="Times New Roman" w:hAnsi="Times New Roman"/>
                <w:sz w:val="20"/>
              </w:rPr>
              <w:t>Latvia (Riga region, ~56.9°N)</w:t>
            </w:r>
          </w:p>
        </w:tc>
        <w:tc>
          <w:tcPr>
            <w:tcW w:type="dxa" w:w="1824"/>
          </w:tcPr>
          <w:p>
            <w:r>
              <w:rPr>
                <w:rFonts w:ascii="Times New Roman" w:hAnsi="Times New Roman"/>
                <w:sz w:val="20"/>
              </w:rPr>
              <w:t>7.5</w:t>
            </w:r>
          </w:p>
        </w:tc>
        <w:tc>
          <w:tcPr>
            <w:tcW w:type="dxa" w:w="1824"/>
          </w:tcPr>
          <w:p>
            <w:r>
              <w:rPr>
                <w:rFonts w:ascii="Times New Roman" w:hAnsi="Times New Roman"/>
                <w:sz w:val="20"/>
              </w:rPr>
              <w:t>10.8</w:t>
            </w:r>
          </w:p>
        </w:tc>
        <w:tc>
          <w:tcPr>
            <w:tcW w:type="dxa" w:w="1824"/>
          </w:tcPr>
          <w:p>
            <w:r>
              <w:rPr>
                <w:rFonts w:ascii="Times New Roman" w:hAnsi="Times New Roman"/>
                <w:sz w:val="20"/>
              </w:rPr>
              <w:t>13.5</w:t>
            </w:r>
          </w:p>
        </w:tc>
        <w:tc>
          <w:tcPr>
            <w:tcW w:type="dxa" w:w="1824"/>
          </w:tcPr>
          <w:p>
            <w:r>
              <w:rPr>
                <w:rFonts w:ascii="Times New Roman" w:hAnsi="Times New Roman"/>
                <w:sz w:val="20"/>
              </w:rPr>
              <w:t>14</w:t>
            </w:r>
          </w:p>
        </w:tc>
      </w:tr>
      <w:tr>
        <w:tc>
          <w:tcPr>
            <w:tcW w:type="dxa" w:w="1824"/>
          </w:tcPr>
          <w:p>
            <w:r>
              <w:rPr>
                <w:rFonts w:ascii="Times New Roman" w:hAnsi="Times New Roman"/>
                <w:sz w:val="20"/>
              </w:rPr>
              <w:t>Lithuania (Vilnius region, ~54.7°N)</w:t>
            </w:r>
          </w:p>
        </w:tc>
        <w:tc>
          <w:tcPr>
            <w:tcW w:type="dxa" w:w="1824"/>
          </w:tcPr>
          <w:p>
            <w:r>
              <w:rPr>
                <w:rFonts w:ascii="Times New Roman" w:hAnsi="Times New Roman"/>
                <w:sz w:val="20"/>
              </w:rPr>
              <w:t>7.5</w:t>
            </w:r>
          </w:p>
        </w:tc>
        <w:tc>
          <w:tcPr>
            <w:tcW w:type="dxa" w:w="1824"/>
          </w:tcPr>
          <w:p>
            <w:r>
              <w:rPr>
                <w:rFonts w:ascii="Times New Roman" w:hAnsi="Times New Roman"/>
                <w:sz w:val="20"/>
              </w:rPr>
              <w:t>11.3</w:t>
            </w:r>
          </w:p>
        </w:tc>
        <w:tc>
          <w:tcPr>
            <w:tcW w:type="dxa" w:w="1824"/>
          </w:tcPr>
          <w:p>
            <w:r>
              <w:rPr>
                <w:rFonts w:ascii="Times New Roman" w:hAnsi="Times New Roman"/>
                <w:sz w:val="20"/>
              </w:rPr>
              <w:t>13.8</w:t>
            </w:r>
          </w:p>
        </w:tc>
        <w:tc>
          <w:tcPr>
            <w:tcW w:type="dxa" w:w="1824"/>
          </w:tcPr>
          <w:p>
            <w:r>
              <w:rPr>
                <w:rFonts w:ascii="Times New Roman" w:hAnsi="Times New Roman"/>
                <w:sz w:val="20"/>
              </w:rPr>
              <w:t>14</w:t>
            </w:r>
          </w:p>
        </w:tc>
      </w:tr>
      <w:tr>
        <w:tc>
          <w:tcPr>
            <w:tcW w:type="dxa" w:w="1824"/>
          </w:tcPr>
          <w:p>
            <w:r>
              <w:rPr>
                <w:rFonts w:ascii="Times New Roman" w:hAnsi="Times New Roman"/>
                <w:sz w:val="20"/>
              </w:rPr>
              <w:t>Poland (LT border – DE border, ~54–52°N)</w:t>
            </w:r>
          </w:p>
        </w:tc>
        <w:tc>
          <w:tcPr>
            <w:tcW w:type="dxa" w:w="1824"/>
          </w:tcPr>
          <w:p>
            <w:r>
              <w:rPr>
                <w:rFonts w:ascii="Times New Roman" w:hAnsi="Times New Roman"/>
                <w:sz w:val="20"/>
              </w:rPr>
              <w:t>9.0</w:t>
            </w:r>
          </w:p>
        </w:tc>
        <w:tc>
          <w:tcPr>
            <w:tcW w:type="dxa" w:w="1824"/>
          </w:tcPr>
          <w:p>
            <w:r>
              <w:rPr>
                <w:rFonts w:ascii="Times New Roman" w:hAnsi="Times New Roman"/>
                <w:sz w:val="20"/>
              </w:rPr>
              <w:t>10.5</w:t>
            </w:r>
          </w:p>
        </w:tc>
        <w:tc>
          <w:tcPr>
            <w:tcW w:type="dxa" w:w="1824"/>
          </w:tcPr>
          <w:p>
            <w:r>
              <w:rPr>
                <w:rFonts w:ascii="Times New Roman" w:hAnsi="Times New Roman"/>
                <w:sz w:val="20"/>
              </w:rPr>
              <w:t>14.9</w:t>
            </w:r>
          </w:p>
        </w:tc>
        <w:tc>
          <w:tcPr>
            <w:tcW w:type="dxa" w:w="1824"/>
          </w:tcPr>
          <w:p>
            <w:r>
              <w:rPr>
                <w:rFonts w:ascii="Times New Roman" w:hAnsi="Times New Roman"/>
                <w:sz w:val="20"/>
              </w:rPr>
              <w:t>15</w:t>
            </w:r>
          </w:p>
        </w:tc>
      </w:tr>
      <w:tr>
        <w:tc>
          <w:tcPr>
            <w:tcW w:type="dxa" w:w="1824"/>
          </w:tcPr>
          <w:p>
            <w:r>
              <w:rPr>
                <w:rFonts w:ascii="Times New Roman" w:hAnsi="Times New Roman"/>
                <w:sz w:val="20"/>
              </w:rPr>
              <w:t>Germany (Brandenburg/Berlin, ~52.5°N)</w:t>
            </w:r>
          </w:p>
        </w:tc>
        <w:tc>
          <w:tcPr>
            <w:tcW w:type="dxa" w:w="1824"/>
          </w:tcPr>
          <w:p>
            <w:r>
              <w:rPr>
                <w:rFonts w:ascii="Times New Roman" w:hAnsi="Times New Roman"/>
                <w:sz w:val="20"/>
              </w:rPr>
              <w:t>10.5</w:t>
            </w:r>
          </w:p>
        </w:tc>
        <w:tc>
          <w:tcPr>
            <w:tcW w:type="dxa" w:w="1824"/>
          </w:tcPr>
          <w:p>
            <w:r>
              <w:rPr>
                <w:rFonts w:ascii="Times New Roman" w:hAnsi="Times New Roman"/>
                <w:sz w:val="20"/>
              </w:rPr>
              <w:t>9.8</w:t>
            </w:r>
          </w:p>
        </w:tc>
        <w:tc>
          <w:tcPr>
            <w:tcW w:type="dxa" w:w="1824"/>
          </w:tcPr>
          <w:p>
            <w:r>
              <w:rPr>
                <w:rFonts w:ascii="Times New Roman" w:hAnsi="Times New Roman"/>
                <w:sz w:val="20"/>
              </w:rPr>
              <w:t>16.0</w:t>
            </w:r>
          </w:p>
        </w:tc>
        <w:tc>
          <w:tcPr>
            <w:tcW w:type="dxa" w:w="1824"/>
          </w:tcPr>
          <w:p>
            <w:r>
              <w:rPr>
                <w:rFonts w:ascii="Times New Roman" w:hAnsi="Times New Roman"/>
                <w:sz w:val="20"/>
              </w:rPr>
              <w:t>16</w:t>
            </w:r>
          </w:p>
        </w:tc>
      </w:tr>
    </w:tbl>
    <w:p/>
    <w:p>
      <w:pPr>
        <w:ind w:firstLine="567"/>
        <w:jc w:val="both"/>
      </w:pPr>
      <w:r>
        <w:rPr>
          <w:rFonts w:ascii="Times New Roman" w:hAnsi="Times New Roman"/>
          <w:b w:val="0"/>
          <w:i w:val="0"/>
          <w:sz w:val="22"/>
        </w:rPr>
        <w:t>Values are rounded to the nearest degree Celsius. The true seasonal maximum at 1.2 m depth occurs approximately on 12 August and is only 0.2–0.3°C higher than the 15 July value. For simplified summer scenario modelling (June–August), the tabulated values may be applied as a constant soil temperature boundary condition along the full length of the respective route section.</w:t>
      </w:r>
    </w:p>
    <w:p/>
    <w:p>
      <w:pPr>
        <w:jc w:val="both"/>
      </w:pPr>
      <w:r>
        <w:rPr>
          <w:rFonts w:ascii="Times New Roman" w:hAnsi="Times New Roman"/>
          <w:b/>
          <w:i w:val="0"/>
          <w:sz w:val="22"/>
        </w:rPr>
        <w:t>4.2  Sensitivity Analysis — Effect of Thermal Diffusivity</w:t>
      </w:r>
    </w:p>
    <w:p>
      <w:pPr>
        <w:ind w:firstLine="567"/>
        <w:jc w:val="both"/>
      </w:pPr>
      <w:r>
        <w:rPr>
          <w:rFonts w:ascii="Times New Roman" w:hAnsi="Times New Roman"/>
          <w:b w:val="0"/>
          <w:i w:val="0"/>
          <w:sz w:val="22"/>
        </w:rPr>
        <w:t>The table below illustrates the effect of the choice of α on the resulting soil temperature, demonstrated for Poland (T̅ = 9.0°C, Aₛ = 10.5°C):</w:t>
      </w:r>
    </w:p>
    <w:tbl>
      <w:tblPr>
        <w:tblStyle w:val="TableGrid"/>
        <w:tblW w:type="auto" w:w="0"/>
        <w:tblLook w:firstColumn="1" w:firstRow="1" w:lastColumn="0" w:lastRow="0" w:noHBand="0" w:noVBand="1" w:val="04A0"/>
      </w:tblPr>
      <w:tblGrid>
        <w:gridCol w:w="2280"/>
        <w:gridCol w:w="2280"/>
        <w:gridCol w:w="2280"/>
        <w:gridCol w:w="2280"/>
      </w:tblGrid>
      <w:tr>
        <w:tc>
          <w:tcPr>
            <w:tcW w:type="dxa" w:w="2280"/>
          </w:tcPr>
          <w:p>
            <w:r>
              <w:rPr>
                <w:rFonts w:ascii="Times New Roman" w:hAnsi="Times New Roman"/>
                <w:b/>
                <w:sz w:val="20"/>
              </w:rPr>
              <w:t>α [m²/s]</w:t>
            </w:r>
          </w:p>
        </w:tc>
        <w:tc>
          <w:tcPr>
            <w:tcW w:type="dxa" w:w="2280"/>
          </w:tcPr>
          <w:p>
            <w:r>
              <w:rPr>
                <w:rFonts w:ascii="Times New Roman" w:hAnsi="Times New Roman"/>
                <w:b/>
                <w:sz w:val="20"/>
              </w:rPr>
              <w:t>D [m]</w:t>
            </w:r>
          </w:p>
        </w:tc>
        <w:tc>
          <w:tcPr>
            <w:tcW w:type="dxa" w:w="2280"/>
          </w:tcPr>
          <w:p>
            <w:r>
              <w:rPr>
                <w:rFonts w:ascii="Times New Roman" w:hAnsi="Times New Roman"/>
                <w:b/>
                <w:sz w:val="20"/>
              </w:rPr>
              <w:t>Damping factor</w:t>
            </w:r>
          </w:p>
        </w:tc>
        <w:tc>
          <w:tcPr>
            <w:tcW w:type="dxa" w:w="2280"/>
          </w:tcPr>
          <w:p>
            <w:r>
              <w:rPr>
                <w:rFonts w:ascii="Times New Roman" w:hAnsi="Times New Roman"/>
                <w:b/>
                <w:sz w:val="20"/>
              </w:rPr>
              <w:t>T (Poland, 15 Jul) [°C]</w:t>
            </w:r>
          </w:p>
        </w:tc>
      </w:tr>
      <w:tr>
        <w:tc>
          <w:tcPr>
            <w:tcW w:type="dxa" w:w="2280"/>
          </w:tcPr>
          <w:p>
            <w:r>
              <w:rPr>
                <w:rFonts w:ascii="Times New Roman" w:hAnsi="Times New Roman"/>
                <w:sz w:val="20"/>
              </w:rPr>
              <w:t>4.5 × 10⁻⁷</w:t>
            </w:r>
          </w:p>
        </w:tc>
        <w:tc>
          <w:tcPr>
            <w:tcW w:type="dxa" w:w="2280"/>
          </w:tcPr>
          <w:p>
            <w:r>
              <w:rPr>
                <w:rFonts w:ascii="Times New Roman" w:hAnsi="Times New Roman"/>
                <w:sz w:val="20"/>
              </w:rPr>
              <w:t>2.13</w:t>
            </w:r>
          </w:p>
        </w:tc>
        <w:tc>
          <w:tcPr>
            <w:tcW w:type="dxa" w:w="2280"/>
          </w:tcPr>
          <w:p>
            <w:r>
              <w:rPr>
                <w:rFonts w:ascii="Times New Roman" w:hAnsi="Times New Roman"/>
                <w:sz w:val="20"/>
              </w:rPr>
              <w:t>0.569</w:t>
            </w:r>
          </w:p>
        </w:tc>
        <w:tc>
          <w:tcPr>
            <w:tcW w:type="dxa" w:w="2280"/>
          </w:tcPr>
          <w:p>
            <w:r>
              <w:rPr>
                <w:rFonts w:ascii="Times New Roman" w:hAnsi="Times New Roman"/>
                <w:sz w:val="20"/>
              </w:rPr>
              <w:t>14.0</w:t>
            </w:r>
          </w:p>
        </w:tc>
      </w:tr>
      <w:tr>
        <w:tc>
          <w:tcPr>
            <w:tcW w:type="dxa" w:w="2280"/>
          </w:tcPr>
          <w:p>
            <w:r>
              <w:rPr>
                <w:rFonts w:ascii="Times New Roman" w:hAnsi="Times New Roman"/>
                <w:sz w:val="20"/>
              </w:rPr>
              <w:t>5.5 × 10⁻⁷</w:t>
            </w:r>
          </w:p>
        </w:tc>
        <w:tc>
          <w:tcPr>
            <w:tcW w:type="dxa" w:w="2280"/>
          </w:tcPr>
          <w:p>
            <w:r>
              <w:rPr>
                <w:rFonts w:ascii="Times New Roman" w:hAnsi="Times New Roman"/>
                <w:sz w:val="20"/>
              </w:rPr>
              <w:t>2.35</w:t>
            </w:r>
          </w:p>
        </w:tc>
        <w:tc>
          <w:tcPr>
            <w:tcW w:type="dxa" w:w="2280"/>
          </w:tcPr>
          <w:p>
            <w:r>
              <w:rPr>
                <w:rFonts w:ascii="Times New Roman" w:hAnsi="Times New Roman"/>
                <w:sz w:val="20"/>
              </w:rPr>
              <w:t>0.600</w:t>
            </w:r>
          </w:p>
        </w:tc>
        <w:tc>
          <w:tcPr>
            <w:tcW w:type="dxa" w:w="2280"/>
          </w:tcPr>
          <w:p>
            <w:r>
              <w:rPr>
                <w:rFonts w:ascii="Times New Roman" w:hAnsi="Times New Roman"/>
                <w:sz w:val="20"/>
              </w:rPr>
              <w:t>14.5</w:t>
            </w:r>
          </w:p>
        </w:tc>
      </w:tr>
      <w:tr>
        <w:tc>
          <w:tcPr>
            <w:tcW w:type="dxa" w:w="2280"/>
          </w:tcPr>
          <w:p>
            <w:r>
              <w:rPr>
                <w:rFonts w:ascii="Times New Roman" w:hAnsi="Times New Roman"/>
                <w:sz w:val="20"/>
              </w:rPr>
              <w:t>6.5 × 10⁻⁷</w:t>
            </w:r>
          </w:p>
        </w:tc>
        <w:tc>
          <w:tcPr>
            <w:tcW w:type="dxa" w:w="2280"/>
          </w:tcPr>
          <w:p>
            <w:r>
              <w:rPr>
                <w:rFonts w:ascii="Times New Roman" w:hAnsi="Times New Roman"/>
                <w:sz w:val="20"/>
              </w:rPr>
              <w:t>2.55</w:t>
            </w:r>
          </w:p>
        </w:tc>
        <w:tc>
          <w:tcPr>
            <w:tcW w:type="dxa" w:w="2280"/>
          </w:tcPr>
          <w:p>
            <w:r>
              <w:rPr>
                <w:rFonts w:ascii="Times New Roman" w:hAnsi="Times New Roman"/>
                <w:sz w:val="20"/>
              </w:rPr>
              <w:t>0.625</w:t>
            </w:r>
          </w:p>
        </w:tc>
        <w:tc>
          <w:tcPr>
            <w:tcW w:type="dxa" w:w="2280"/>
          </w:tcPr>
          <w:p>
            <w:r>
              <w:rPr>
                <w:rFonts w:ascii="Times New Roman" w:hAnsi="Times New Roman"/>
                <w:sz w:val="20"/>
              </w:rPr>
              <w:t>14.9</w:t>
            </w:r>
          </w:p>
        </w:tc>
      </w:tr>
      <w:tr>
        <w:tc>
          <w:tcPr>
            <w:tcW w:type="dxa" w:w="2280"/>
          </w:tcPr>
          <w:p>
            <w:r>
              <w:rPr>
                <w:rFonts w:ascii="Times New Roman" w:hAnsi="Times New Roman"/>
                <w:sz w:val="20"/>
              </w:rPr>
              <w:t>7.5 × 10⁻⁷</w:t>
            </w:r>
          </w:p>
        </w:tc>
        <w:tc>
          <w:tcPr>
            <w:tcW w:type="dxa" w:w="2280"/>
          </w:tcPr>
          <w:p>
            <w:r>
              <w:rPr>
                <w:rFonts w:ascii="Times New Roman" w:hAnsi="Times New Roman"/>
                <w:sz w:val="20"/>
              </w:rPr>
              <w:t>2.74</w:t>
            </w:r>
          </w:p>
        </w:tc>
        <w:tc>
          <w:tcPr>
            <w:tcW w:type="dxa" w:w="2280"/>
          </w:tcPr>
          <w:p>
            <w:r>
              <w:rPr>
                <w:rFonts w:ascii="Times New Roman" w:hAnsi="Times New Roman"/>
                <w:sz w:val="20"/>
              </w:rPr>
              <w:t>0.646</w:t>
            </w:r>
          </w:p>
        </w:tc>
        <w:tc>
          <w:tcPr>
            <w:tcW w:type="dxa" w:w="2280"/>
          </w:tcPr>
          <w:p>
            <w:r>
              <w:rPr>
                <w:rFonts w:ascii="Times New Roman" w:hAnsi="Times New Roman"/>
                <w:sz w:val="20"/>
              </w:rPr>
              <w:t>15.1</w:t>
            </w:r>
          </w:p>
        </w:tc>
      </w:tr>
      <w:tr>
        <w:tc>
          <w:tcPr>
            <w:tcW w:type="dxa" w:w="2280"/>
          </w:tcPr>
          <w:p>
            <w:r>
              <w:rPr>
                <w:rFonts w:ascii="Times New Roman" w:hAnsi="Times New Roman"/>
                <w:sz w:val="20"/>
              </w:rPr>
              <w:t>8.5 × 10⁻⁷</w:t>
            </w:r>
          </w:p>
        </w:tc>
        <w:tc>
          <w:tcPr>
            <w:tcW w:type="dxa" w:w="2280"/>
          </w:tcPr>
          <w:p>
            <w:r>
              <w:rPr>
                <w:rFonts w:ascii="Times New Roman" w:hAnsi="Times New Roman"/>
                <w:sz w:val="20"/>
              </w:rPr>
              <w:t>2.92</w:t>
            </w:r>
          </w:p>
        </w:tc>
        <w:tc>
          <w:tcPr>
            <w:tcW w:type="dxa" w:w="2280"/>
          </w:tcPr>
          <w:p>
            <w:r>
              <w:rPr>
                <w:rFonts w:ascii="Times New Roman" w:hAnsi="Times New Roman"/>
                <w:sz w:val="20"/>
              </w:rPr>
              <w:t>0.663</w:t>
            </w:r>
          </w:p>
        </w:tc>
        <w:tc>
          <w:tcPr>
            <w:tcW w:type="dxa" w:w="2280"/>
          </w:tcPr>
          <w:p>
            <w:r>
              <w:rPr>
                <w:rFonts w:ascii="Times New Roman" w:hAnsi="Times New Roman"/>
                <w:sz w:val="20"/>
              </w:rPr>
              <w:t>15.4</w:t>
            </w:r>
          </w:p>
        </w:tc>
      </w:tr>
    </w:tbl>
    <w:p/>
    <w:p>
      <w:pPr>
        <w:ind w:firstLine="567"/>
        <w:jc w:val="both"/>
      </w:pPr>
      <w:r>
        <w:rPr>
          <w:rFonts w:ascii="Times New Roman" w:hAnsi="Times New Roman"/>
          <w:b w:val="0"/>
          <w:i w:val="0"/>
          <w:sz w:val="22"/>
        </w:rPr>
        <w:t>The sensitivity analysis confirms that the spread of results across the realistic range α = 4.5–8.5 × 10⁻⁷ m²/s is ±1.4°C — an acceptable engineering band. The adopted value α = 6.5 × 10⁻⁷ m²/s is slightly conservative for the summer scenario (higher α → lower D → less attenuation → higher temperature at depth).</w:t>
      </w:r>
    </w:p>
    <w:p/>
    <w:p>
      <w:pPr>
        <w:pStyle w:val="Heading1"/>
        <w:jc w:val="left"/>
      </w:pPr>
      <w:r>
        <w:t>5  Country-by-Country Justification</w:t>
      </w:r>
    </w:p>
    <w:p>
      <w:pPr>
        <w:jc w:val="both"/>
      </w:pPr>
      <w:r>
        <w:rPr>
          <w:rFonts w:ascii="Times New Roman" w:hAnsi="Times New Roman"/>
          <w:b/>
          <w:i w:val="0"/>
          <w:sz w:val="22"/>
        </w:rPr>
        <w:t>Finland — north of Helsinki (route ~60.5°N)</w:t>
      </w:r>
    </w:p>
    <w:p>
      <w:pPr>
        <w:ind w:firstLine="567"/>
        <w:jc w:val="both"/>
      </w:pPr>
      <w:r>
        <w:rPr>
          <w:rFonts w:ascii="Times New Roman" w:hAnsi="Times New Roman"/>
          <w:b w:val="0"/>
          <w:i w:val="0"/>
          <w:sz w:val="22"/>
        </w:rPr>
        <w:t>The pipeline originates near the coast of the Gulf of Finland, north of Helsinki. The reference station is Vantaa (FMI), located approximately 20 km from the route axis. The mean annual air temperature in the 1991–2020 normal is 5.5°C; the July monthly mean is 17.5°C and the January mean is −5.5°C, giving Aₛ = 11.5°C. The soil cover consists predominantly of sandy-loam moraine sediments with organic admixtures (peat horizons). The lower thermal diffusivity of peat-rich soils (3–5 × 10⁻⁷ m²/s) would result in a lower summer temperature at depth; nonetheless, the conservative higher value α = 6.5 × 10⁻⁷ m²/s is used, which maximises the resulting temperature and thus provides the more unfavourable (conservative) input for the thermal model. Resulting design temperature: 12°C.</w:t>
      </w:r>
    </w:p>
    <w:p/>
    <w:p>
      <w:pPr>
        <w:jc w:val="both"/>
      </w:pPr>
      <w:r>
        <w:rPr>
          <w:rFonts w:ascii="Times New Roman" w:hAnsi="Times New Roman"/>
          <w:b/>
          <w:i w:val="0"/>
          <w:sz w:val="22"/>
        </w:rPr>
        <w:t>Estonia (route ~59.4°N)</w:t>
      </w:r>
    </w:p>
    <w:p>
      <w:pPr>
        <w:ind w:firstLine="567"/>
        <w:jc w:val="both"/>
      </w:pPr>
      <w:r>
        <w:rPr>
          <w:rFonts w:ascii="Times New Roman" w:hAnsi="Times New Roman"/>
          <w:b w:val="0"/>
          <w:i w:val="0"/>
          <w:sz w:val="22"/>
        </w:rPr>
        <w:t>The route traverses northern Estonia across a gently undulating plateau of Cambrian and Ordovician sedimentary rocks overlain by Quaternary gravelly sands and sandy-loam moraines. The reference station is Tallinn-Harku (EMHI); 1991–2020 normal: T̅ = 7.0°C, Tᴵᴵᴸⱼ = 18.3°C, Tᴶᵃⁿ = −2.3°C, Aₛ = 10.8°C. Estonia is among the fastest-warming regions of northern Europe: mean annual temperature has increased by approximately 0.8°C relative to the 1971–2000 normal. The current 1991–2020 normal already incorporates this warming trend. Resulting design temperature: 13°C.</w:t>
      </w:r>
    </w:p>
    <w:p/>
    <w:p>
      <w:pPr>
        <w:jc w:val="both"/>
      </w:pPr>
      <w:r>
        <w:rPr>
          <w:rFonts w:ascii="Times New Roman" w:hAnsi="Times New Roman"/>
          <w:b/>
          <w:i w:val="0"/>
          <w:sz w:val="22"/>
        </w:rPr>
        <w:t>Latvia (route ~56.9°N)</w:t>
      </w:r>
    </w:p>
    <w:p>
      <w:pPr>
        <w:ind w:firstLine="567"/>
        <w:jc w:val="both"/>
      </w:pPr>
      <w:r>
        <w:rPr>
          <w:rFonts w:ascii="Times New Roman" w:hAnsi="Times New Roman"/>
          <w:b w:val="0"/>
          <w:i w:val="0"/>
          <w:sz w:val="22"/>
        </w:rPr>
        <w:t>The route enters Latvia in Vidzeme and continues south-westward. The geology is again predominantly Quaternary — glaciofluvial sands and gravels, locally overlain by Holocene lacustrine sediments. The reference station is Riga (LVĢMC); 1991–2020 normal: T̅ = 7.5°C, Tᴵᴵᴸⱼ = 18.8°C, Tᴶᵃⁿ = −2.8°C, Aₛ = 10.8°C. Resulting design temperature: 14°C.</w:t>
      </w:r>
    </w:p>
    <w:p/>
    <w:p>
      <w:pPr>
        <w:jc w:val="both"/>
      </w:pPr>
      <w:r>
        <w:rPr>
          <w:rFonts w:ascii="Times New Roman" w:hAnsi="Times New Roman"/>
          <w:b/>
          <w:i w:val="0"/>
          <w:sz w:val="22"/>
        </w:rPr>
        <w:t>Lithuania (route ~54.7°N)</w:t>
      </w:r>
    </w:p>
    <w:p>
      <w:pPr>
        <w:ind w:firstLine="567"/>
        <w:jc w:val="both"/>
      </w:pPr>
      <w:r>
        <w:rPr>
          <w:rFonts w:ascii="Times New Roman" w:hAnsi="Times New Roman"/>
          <w:b w:val="0"/>
          <w:i w:val="0"/>
          <w:sz w:val="22"/>
        </w:rPr>
        <w:t>In Lithuania the route crosses the gently rolling lowland plain of glacial sediments in the centre of the country. The reference station is Vilnius (LHMT); from 2021 the LHMT adopted the new 1991–2020 standard climate normal, under which the mean annual temperature for Vilnius increased by 0.5°C relative to the 1981–2010 normal, reaching 7.5°C. Tᴵᴵᴸⱼ = 19.2°C, Tᴶᵃⁿ = −3.1°C, Aₛ = 11.3°C. Resulting design temperature: 14°C.</w:t>
      </w:r>
    </w:p>
    <w:p/>
    <w:p>
      <w:pPr>
        <w:jc w:val="both"/>
      </w:pPr>
      <w:r>
        <w:rPr>
          <w:rFonts w:ascii="Times New Roman" w:hAnsi="Times New Roman"/>
          <w:b/>
          <w:i w:val="0"/>
          <w:sz w:val="22"/>
        </w:rPr>
        <w:t>Poland (LT/BY border → PL/DE border, ~54–52°N)</w:t>
      </w:r>
    </w:p>
    <w:p>
      <w:pPr>
        <w:ind w:firstLine="567"/>
        <w:jc w:val="both"/>
      </w:pPr>
      <w:r>
        <w:rPr>
          <w:rFonts w:ascii="Times New Roman" w:hAnsi="Times New Roman"/>
          <w:b w:val="0"/>
          <w:i w:val="0"/>
          <w:sz w:val="22"/>
        </w:rPr>
        <w:t>The Polish section is the longest (~600 km) and climatically most varied. The transition from north-eastern Poland (climate influenced by continental air masses from the east) to central and north-western Poland (progressively more oceanic) produces a gradual increase in mean annual temperature from ~7.5°C to ~9.5°C. For the entire Polish section a conservative mean value T̅ = 9.0°C is used, taken from the 1991–2020 normal for station Warszawa-Okęcie (IMGW-PIB). Tᴵᴵᴸⱼ = 19.2°C, Tᴶᵃⁿ = −0.8°C, Aₛ = 10.5°C. Resulting design temperature: 15°C.</w:t>
      </w:r>
    </w:p>
    <w:p/>
    <w:p>
      <w:pPr>
        <w:jc w:val="both"/>
      </w:pPr>
      <w:r>
        <w:rPr>
          <w:rFonts w:ascii="Times New Roman" w:hAnsi="Times New Roman"/>
          <w:b/>
          <w:i w:val="0"/>
          <w:sz w:val="22"/>
        </w:rPr>
        <w:t>Germany — Brandenburg/Berlin (route ~52.5°N)</w:t>
      </w:r>
    </w:p>
    <w:p>
      <w:pPr>
        <w:ind w:firstLine="567"/>
        <w:jc w:val="both"/>
      </w:pPr>
      <w:r>
        <w:rPr>
          <w:rFonts w:ascii="Times New Roman" w:hAnsi="Times New Roman"/>
          <w:b w:val="0"/>
          <w:i w:val="0"/>
          <w:sz w:val="22"/>
        </w:rPr>
        <w:t>The pipeline approaches Berlin across the Brandenburg lowlands — flat post-glacial plains of sandy and gravelly-sandy sediments with low water-retention capacity. The reference station is Berlin-Dahlem (DWD); 1991–2020 normal: T̅ = 10.5°C (Berlin warms faster than its surroundings due to the urban heat island effect; the open-terrain value outside the built-up area is estimated at ~10.0°C). Tᴵᴵᴸⱼ = 19.8°C, Tᴶᵃⁿ = 0.2°C, Aₛ = 9.8°C. DWD publishes historical ground temperature data at depths of 20–100 cm; the measured mean temperature in August at 100 cm depth is in the range 15–17°C, which is consistent with the calculated value. Resulting design temperature: 16°C.</w:t>
      </w:r>
    </w:p>
    <w:p/>
    <w:p>
      <w:pPr>
        <w:pStyle w:val="Heading1"/>
        <w:jc w:val="left"/>
      </w:pPr>
      <w:r>
        <w:t>6  Consistency with Technical Standards</w:t>
      </w:r>
    </w:p>
    <w:p>
      <w:pPr>
        <w:ind w:firstLine="567"/>
        <w:jc w:val="both"/>
      </w:pPr>
      <w:r>
        <w:rPr>
          <w:rFonts w:ascii="Times New Roman" w:hAnsi="Times New Roman"/>
          <w:b w:val="0"/>
          <w:i w:val="0"/>
          <w:sz w:val="22"/>
        </w:rPr>
        <w:t>The proposed values are consistent with the requirements and recommendations of the standards listed below. None of the referenced standards prescribes mandatory numerical soil temperature values; they require or recommend that the parameter be established on the basis of local climatological measurements using a documented method — which this document fulfils:</w:t>
      </w:r>
    </w:p>
    <w:p>
      <w:pPr>
        <w:pStyle w:val="ListBullet"/>
        <w:ind w:left="567"/>
      </w:pPr>
      <w:r>
        <w:rPr>
          <w:rFonts w:ascii="Times New Roman" w:hAnsi="Times New Roman"/>
          <w:b w:val="0"/>
          <w:sz w:val="22"/>
        </w:rPr>
        <w:t>EN 1594:2013 – Gas infrastructure – Pipelines for maximum operating pressure over 16 bar: requires the operator to define boundary conditions for thermodynamic calculations on the basis of local conditions; does not specify a numerical soil temperature value.</w:t>
      </w:r>
    </w:p>
    <w:p>
      <w:pPr>
        <w:pStyle w:val="ListBullet"/>
        <w:ind w:left="567"/>
      </w:pPr>
      <w:r>
        <w:rPr>
          <w:rFonts w:ascii="Times New Roman" w:hAnsi="Times New Roman"/>
          <w:b w:val="0"/>
          <w:sz w:val="22"/>
        </w:rPr>
        <w:t>DVGW G 463:2021 – Hochdruckgasleitungen aus Stahl: recommends that soil temperatures be derived from local climatological measurements; the accompanying commentary cites typical summer soil temperatures at 1 m depth of 14–18°C for northern and central Germany, which is consistent with the value of 16°C for Berlin established in this document.</w:t>
      </w:r>
    </w:p>
    <w:p>
      <w:pPr>
        <w:pStyle w:val="ListBullet"/>
        <w:ind w:left="567"/>
      </w:pPr>
      <w:r>
        <w:rPr>
          <w:rFonts w:ascii="Times New Roman" w:hAnsi="Times New Roman"/>
          <w:b w:val="0"/>
          <w:sz w:val="22"/>
        </w:rPr>
        <w:t>ISO 13370:2017 – Thermal performance of buildings – Heat transfer via the ground: defines the standard sinusoidal soil temperature profile model that is the basis of the calculation in this document (equation in Section 2.1).</w:t>
      </w:r>
    </w:p>
    <w:p>
      <w:pPr>
        <w:pStyle w:val="ListBullet"/>
        <w:ind w:left="567"/>
      </w:pPr>
      <w:r>
        <w:rPr>
          <w:rFonts w:ascii="Times New Roman" w:hAnsi="Times New Roman"/>
          <w:b w:val="0"/>
          <w:sz w:val="22"/>
        </w:rPr>
        <w:t>VDI 4640-1:2021 – Thermal use of the underground – Fundamentals, approvals, environmental aspects: gives the range of thermal diffusivity for mineral soils as 4–9 × 10⁻⁷ m²/s; the adopted value of 6.5 × 10⁻⁷ m²/s lies within the mid-range and is consistent with the standard’s recommendation.</w:t>
      </w:r>
    </w:p>
    <w:p/>
    <w:p>
      <w:pPr>
        <w:pStyle w:val="Heading1"/>
        <w:jc w:val="left"/>
      </w:pPr>
      <w:r>
        <w:t>7  Summary</w:t>
      </w:r>
    </w:p>
    <w:p>
      <w:pPr>
        <w:ind w:firstLine="567"/>
        <w:jc w:val="both"/>
      </w:pPr>
      <w:r>
        <w:rPr>
          <w:rFonts w:ascii="Times New Roman" w:hAnsi="Times New Roman"/>
          <w:b w:val="0"/>
          <w:i w:val="0"/>
          <w:sz w:val="22"/>
        </w:rPr>
        <w:t>For the summer operating scenario (June–August) of the pipeline on the route Finland–Estonia–Latvia–Lithuania–Poland–Berlin, the following soil temperatures at pipe centreline depth (z ≈ 1.20 m below ground level) are recommended:</w:t>
      </w:r>
    </w:p>
    <w:p>
      <w:pPr>
        <w:pStyle w:val="ListBullet"/>
        <w:ind w:left="850"/>
      </w:pPr>
      <w:r>
        <w:rPr>
          <w:rFonts w:ascii="Times New Roman" w:hAnsi="Times New Roman"/>
          <w:b/>
          <w:sz w:val="22"/>
        </w:rPr>
        <w:t>Finland (N of Helsinki, ~60.5°N):   12 °C</w:t>
      </w:r>
    </w:p>
    <w:p>
      <w:pPr>
        <w:pStyle w:val="ListBullet"/>
        <w:ind w:left="850"/>
      </w:pPr>
      <w:r>
        <w:rPr>
          <w:rFonts w:ascii="Times New Roman" w:hAnsi="Times New Roman"/>
          <w:b/>
          <w:sz w:val="22"/>
        </w:rPr>
        <w:t>Estonia (Tallinn region, ~59.4°N):   13 °C</w:t>
      </w:r>
    </w:p>
    <w:p>
      <w:pPr>
        <w:pStyle w:val="ListBullet"/>
        <w:ind w:left="850"/>
      </w:pPr>
      <w:r>
        <w:rPr>
          <w:rFonts w:ascii="Times New Roman" w:hAnsi="Times New Roman"/>
          <w:b/>
          <w:sz w:val="22"/>
        </w:rPr>
        <w:t>Latvia (Riga region, ~56.9°N):   14 °C</w:t>
      </w:r>
    </w:p>
    <w:p>
      <w:pPr>
        <w:pStyle w:val="ListBullet"/>
        <w:ind w:left="850"/>
      </w:pPr>
      <w:r>
        <w:rPr>
          <w:rFonts w:ascii="Times New Roman" w:hAnsi="Times New Roman"/>
          <w:b/>
          <w:sz w:val="22"/>
        </w:rPr>
        <w:t>Lithuania (Vilnius region, ~54.7°N):   14 °C</w:t>
      </w:r>
    </w:p>
    <w:p>
      <w:pPr>
        <w:pStyle w:val="ListBullet"/>
        <w:ind w:left="850"/>
      </w:pPr>
      <w:r>
        <w:rPr>
          <w:rFonts w:ascii="Times New Roman" w:hAnsi="Times New Roman"/>
          <w:b/>
          <w:sz w:val="22"/>
        </w:rPr>
        <w:t>Poland (LT border – DE border, ~54–52°N):   15 °C</w:t>
      </w:r>
    </w:p>
    <w:p>
      <w:pPr>
        <w:pStyle w:val="ListBullet"/>
        <w:ind w:left="850"/>
      </w:pPr>
      <w:r>
        <w:rPr>
          <w:rFonts w:ascii="Times New Roman" w:hAnsi="Times New Roman"/>
          <w:b/>
          <w:sz w:val="22"/>
        </w:rPr>
        <w:t>Germany (Brandenburg/Berlin, ~52.5°N):   16 °C</w:t>
      </w:r>
    </w:p>
    <w:p/>
    <w:p>
      <w:pPr>
        <w:ind w:firstLine="567"/>
        <w:jc w:val="both"/>
      </w:pPr>
      <w:r>
        <w:rPr>
          <w:rFonts w:ascii="Times New Roman" w:hAnsi="Times New Roman"/>
          <w:b w:val="0"/>
          <w:i w:val="0"/>
          <w:sz w:val="22"/>
        </w:rPr>
        <w:t>The values are derived using the analytical sinusoidal heat-propagation model (per ISO 13370:2017) with parameters α = 6.5 × 10⁻⁷ m²/s and z = 1.20 m, based on WMO 1991–2020 climate normals from the national meteorological services. The values are conservative in nature and are suitable as soil temperature boundary condition inputs for hydraulic-thermodynamic simulations in SIMONE, GANESI, SynerGEE or equivalent tools.</w:t>
      </w:r>
    </w:p>
    <w:p/>
    <w:p>
      <w:pPr>
        <w:pStyle w:val="Heading1"/>
        <w:jc w:val="left"/>
      </w:pPr>
      <w:r>
        <w:t>References</w:t>
      </w:r>
    </w:p>
    <w:p>
      <w:pPr>
        <w:pStyle w:val="ListNumber"/>
        <w:ind w:left="567"/>
      </w:pPr>
      <w:r>
        <w:rPr>
          <w:rFonts w:ascii="Times New Roman" w:hAnsi="Times New Roman"/>
          <w:sz w:val="20"/>
        </w:rPr>
        <w:t xml:space="preserve">Florides, G., Kalogirou, S. (2004): Measurements of Ground Temperature at Various Depths. SET 2004, 3rd Int. Conference on Sustainable Energy Technologies, Nottingham. Available at: </w:t>
      </w:r>
      <w:hyperlink r:id="rId9">
        <w:r>
          <w:rPr>
            <w:color w:val="1155CC"/>
            <w:u w:val="single"/>
            <w:rFonts w:ascii="Times New Roman" w:hAnsi="Times New Roman"/>
            <w:sz w:val="20"/>
          </w:rPr>
          <w:t>https://www.semanticscholar.org/paper/Measurements-of-Ground-Temperature-at-Various-Florides-Kalogirou/3205b850d46eeaf53793f464059c8a7ac9af9661</w:t>
        </w:r>
      </w:hyperlink>
    </w:p>
    <w:p>
      <w:pPr>
        <w:pStyle w:val="ListNumber"/>
        <w:ind w:left="567"/>
      </w:pPr>
      <w:r>
        <w:rPr>
          <w:rFonts w:ascii="Times New Roman" w:hAnsi="Times New Roman"/>
          <w:sz w:val="20"/>
        </w:rPr>
        <w:t xml:space="preserve">ISO 13370:2017 – Thermal performance of buildings – Heat transfer via the ground. ISO, Geneva. Available at: </w:t>
      </w:r>
      <w:hyperlink r:id="rId10">
        <w:r>
          <w:rPr>
            <w:color w:val="1155CC"/>
            <w:u w:val="single"/>
            <w:rFonts w:ascii="Times New Roman" w:hAnsi="Times New Roman"/>
            <w:sz w:val="20"/>
          </w:rPr>
          <w:t>https://www.iso.org/standard/65716.html</w:t>
        </w:r>
      </w:hyperlink>
    </w:p>
    <w:p>
      <w:pPr>
        <w:pStyle w:val="ListNumber"/>
        <w:ind w:left="567"/>
      </w:pPr>
      <w:r>
        <w:rPr>
          <w:rFonts w:ascii="Times New Roman" w:hAnsi="Times New Roman"/>
          <w:sz w:val="20"/>
        </w:rPr>
        <w:t xml:space="preserve">VDI 4640-1:2021 – Thermische Nutzung des Untergrunds – Grundlagen, Genehmigungen, Umweltaspekte. VDI, Düsseldorf. Available at: </w:t>
      </w:r>
      <w:hyperlink r:id="rId11">
        <w:r>
          <w:rPr>
            <w:color w:val="1155CC"/>
            <w:u w:val="single"/>
            <w:rFonts w:ascii="Times New Roman" w:hAnsi="Times New Roman"/>
            <w:sz w:val="20"/>
          </w:rPr>
          <w:t>https://www.vdi.de/richtlinien/details/vdi-4640-blatt-1-thermische-nutzung-des-untergrunds-grundlagen-genehmigungen-umweltaspekte</w:t>
        </w:r>
      </w:hyperlink>
    </w:p>
    <w:p>
      <w:pPr>
        <w:pStyle w:val="ListNumber"/>
        <w:ind w:left="567"/>
      </w:pPr>
      <w:r>
        <w:rPr>
          <w:rFonts w:ascii="Times New Roman" w:hAnsi="Times New Roman"/>
          <w:sz w:val="20"/>
        </w:rPr>
        <w:t xml:space="preserve">DVGW G 463:2021 – Hochdruckgasleitungen aus Stahl für einen Auslegungsdruck über 16 bar. DVGW, Bonn. Available at: </w:t>
      </w:r>
      <w:hyperlink r:id="rId12">
        <w:r>
          <w:rPr>
            <w:color w:val="1155CC"/>
            <w:u w:val="single"/>
            <w:rFonts w:ascii="Times New Roman" w:hAnsi="Times New Roman"/>
            <w:sz w:val="20"/>
          </w:rPr>
          <w:t>https://shop.wvgw.de/G-463-Technical-Rule-Standard-10-2021-PDF-file/512260</w:t>
        </w:r>
      </w:hyperlink>
    </w:p>
    <w:p>
      <w:pPr>
        <w:pStyle w:val="ListNumber"/>
        <w:ind w:left="567"/>
      </w:pPr>
      <w:r>
        <w:rPr>
          <w:rFonts w:ascii="Times New Roman" w:hAnsi="Times New Roman"/>
          <w:sz w:val="20"/>
        </w:rPr>
        <w:t xml:space="preserve">EN 1594:2013 – Gas infrastructure – Pipelines for maximum operating pressure over 16 bar – Functional requirements. CEN. Available at: </w:t>
      </w:r>
      <w:hyperlink r:id="rId13">
        <w:r>
          <w:rPr>
            <w:color w:val="1155CC"/>
            <w:u w:val="single"/>
            <w:rFonts w:ascii="Times New Roman" w:hAnsi="Times New Roman"/>
            <w:sz w:val="20"/>
          </w:rPr>
          <w:t>https://standards.iteh.ai/catalog/standards/cen/5316c548-ef75-41c6-a34f-9db8435bef1a/en-1594-2013</w:t>
        </w:r>
      </w:hyperlink>
    </w:p>
    <w:p>
      <w:pPr>
        <w:pStyle w:val="ListNumber"/>
        <w:ind w:left="567"/>
      </w:pPr>
      <w:r>
        <w:rPr>
          <w:rFonts w:ascii="Times New Roman" w:hAnsi="Times New Roman"/>
          <w:sz w:val="20"/>
        </w:rPr>
        <w:t xml:space="preserve">Finnish Meteorological Institute (FMI): Climate normals 1991–2020, Vantaa station. Helsinki. Available at: </w:t>
      </w:r>
      <w:hyperlink r:id="rId14">
        <w:r>
          <w:rPr>
            <w:color w:val="1155CC"/>
            <w:u w:val="single"/>
            <w:rFonts w:ascii="Times New Roman" w:hAnsi="Times New Roman"/>
            <w:sz w:val="20"/>
          </w:rPr>
          <w:t>https://en.ilmatieteenlaitos.fi/climate-statistics</w:t>
        </w:r>
      </w:hyperlink>
    </w:p>
    <w:p>
      <w:pPr>
        <w:pStyle w:val="ListNumber"/>
        <w:ind w:left="567"/>
      </w:pPr>
      <w:r>
        <w:rPr>
          <w:rFonts w:ascii="Times New Roman" w:hAnsi="Times New Roman"/>
          <w:sz w:val="20"/>
        </w:rPr>
        <w:t xml:space="preserve">Estonian Environment Agency (EMHI): Average air temperature 1991–2020, Tallinn-Harku station. Tallinn. Available at: </w:t>
      </w:r>
      <w:hyperlink r:id="rId15">
        <w:r>
          <w:rPr>
            <w:color w:val="1155CC"/>
            <w:u w:val="single"/>
            <w:rFonts w:ascii="Times New Roman" w:hAnsi="Times New Roman"/>
            <w:sz w:val="20"/>
          </w:rPr>
          <w:t>https://www.ilmateenistus.ee/kliima/kliimanormid/ohutemperatuur/?lang=en</w:t>
        </w:r>
      </w:hyperlink>
    </w:p>
    <w:p>
      <w:pPr>
        <w:pStyle w:val="ListNumber"/>
        <w:ind w:left="567"/>
      </w:pPr>
      <w:r>
        <w:rPr>
          <w:rFonts w:ascii="Times New Roman" w:hAnsi="Times New Roman"/>
          <w:sz w:val="20"/>
        </w:rPr>
        <w:t xml:space="preserve">Latvian Environment, Geology and Meteorology Centre (LVĢMC): Climate normals 1991–2020, Riga station. Riga. Available at: </w:t>
      </w:r>
      <w:hyperlink r:id="rId16">
        <w:r>
          <w:rPr>
            <w:color w:val="1155CC"/>
            <w:u w:val="single"/>
            <w:rFonts w:ascii="Times New Roman" w:hAnsi="Times New Roman"/>
            <w:sz w:val="20"/>
          </w:rPr>
          <w:t>https://www.meteo.lv/en/meteorology/climate/climate-normals/</w:t>
        </w:r>
      </w:hyperlink>
    </w:p>
    <w:p>
      <w:pPr>
        <w:pStyle w:val="ListNumber"/>
        <w:ind w:left="567"/>
      </w:pPr>
      <w:r>
        <w:rPr>
          <w:rFonts w:ascii="Times New Roman" w:hAnsi="Times New Roman"/>
          <w:sz w:val="20"/>
        </w:rPr>
        <w:t xml:space="preserve">Lithuanian Hydrometeorological Service (LHMT): Standard Climate Normals 1991–2020, Vilnius station. Vilnius. Available at: </w:t>
      </w:r>
      <w:hyperlink r:id="rId17">
        <w:r>
          <w:rPr>
            <w:color w:val="1155CC"/>
            <w:u w:val="single"/>
            <w:rFonts w:ascii="Times New Roman" w:hAnsi="Times New Roman"/>
            <w:sz w:val="20"/>
          </w:rPr>
          <w:t>https://www.meteo.lt/en/climate/lithuanian-climate/standard-climate-normals/</w:t>
        </w:r>
      </w:hyperlink>
    </w:p>
    <w:p>
      <w:pPr>
        <w:pStyle w:val="ListNumber"/>
        <w:ind w:left="567"/>
      </w:pPr>
      <w:r>
        <w:rPr>
          <w:rFonts w:ascii="Times New Roman" w:hAnsi="Times New Roman"/>
          <w:sz w:val="20"/>
        </w:rPr>
        <w:t xml:space="preserve">Institute of Meteorology and Water Management – National Research Institute (IMGW-PIB): Climate normals 1991–2020, Warszawa-Okęcie station. Warszawa. Available at: </w:t>
      </w:r>
      <w:hyperlink r:id="rId18">
        <w:r>
          <w:rPr>
            <w:color w:val="1155CC"/>
            <w:u w:val="single"/>
            <w:rFonts w:ascii="Times New Roman" w:hAnsi="Times New Roman"/>
            <w:sz w:val="20"/>
          </w:rPr>
          <w:t>https://www.imgw.pl/en</w:t>
        </w:r>
      </w:hyperlink>
    </w:p>
    <w:p>
      <w:pPr>
        <w:pStyle w:val="ListNumber"/>
        <w:ind w:left="567"/>
      </w:pPr>
      <w:r>
        <w:rPr>
          <w:rFonts w:ascii="Times New Roman" w:hAnsi="Times New Roman"/>
          <w:sz w:val="20"/>
        </w:rPr>
        <w:t xml:space="preserve">Deutscher Wetterdienst (DWD): Climate Data Center – historical data, Berlin-Dahlem station. Offenbach. Available at: </w:t>
      </w:r>
      <w:hyperlink r:id="rId19">
        <w:r>
          <w:rPr>
            <w:color w:val="1155CC"/>
            <w:u w:val="single"/>
            <w:rFonts w:ascii="Times New Roman" w:hAnsi="Times New Roman"/>
            <w:sz w:val="20"/>
          </w:rPr>
          <w:t>https://www.dwd.de/EN/ourservices/cdc/cdc_ueberblick-klimadaten_en.html</w:t>
        </w:r>
      </w:hyperlink>
    </w:p>
    <w:p>
      <w:pPr>
        <w:pStyle w:val="ListNumber"/>
        <w:ind w:left="567"/>
      </w:pPr>
      <w:r>
        <w:rPr>
          <w:rFonts w:ascii="Times New Roman" w:hAnsi="Times New Roman"/>
          <w:sz w:val="20"/>
        </w:rPr>
        <w:t xml:space="preserve">Copernicus Climate Change Service (C3S): ERA5 reanalysis dataset. ECMWF. Available at: </w:t>
      </w:r>
      <w:hyperlink r:id="rId20">
        <w:r>
          <w:rPr>
            <w:color w:val="1155CC"/>
            <w:u w:val="single"/>
            <w:rFonts w:ascii="Times New Roman" w:hAnsi="Times New Roman"/>
            <w:sz w:val="20"/>
          </w:rPr>
          <w:t>https://climate.copernicus.eu/climate-reanalysis</w:t>
        </w:r>
      </w:hyperlink>
    </w:p>
    <w:p>
      <w:pPr>
        <w:pStyle w:val="ListNumber"/>
        <w:ind w:left="567"/>
      </w:pPr>
      <w:r>
        <w:rPr>
          <w:rFonts w:ascii="Times New Roman" w:hAnsi="Times New Roman"/>
          <w:sz w:val="20"/>
        </w:rPr>
        <w:t xml:space="preserve">ASHRAE (2021): ASHRAE Handbook – Fundamentals, Chapter 18: Thermal and Moisture Control in Insulated Assemblies. Atlanta: ASHRAE. Available at: </w:t>
      </w:r>
      <w:hyperlink r:id="rId21">
        <w:r>
          <w:rPr>
            <w:color w:val="1155CC"/>
            <w:u w:val="single"/>
            <w:rFonts w:ascii="Times New Roman" w:hAnsi="Times New Roman"/>
            <w:sz w:val="20"/>
          </w:rPr>
          <w:t>https://www.ashrae.org/technical-resources/ashrae-handbook</w:t>
        </w:r>
      </w:hyperlink>
    </w:p>
    <w:p>
      <w:pPr>
        <w:pStyle w:val="ListNumber"/>
        <w:ind w:left="567"/>
      </w:pPr>
      <w:r>
        <w:rPr>
          <w:rFonts w:ascii="Times New Roman" w:hAnsi="Times New Roman"/>
          <w:sz w:val="20"/>
        </w:rPr>
        <w:t>De Vries, D.A. (1963): Thermal properties of soils. In: W.R. van Wijk (ed.), Physics of Plant Environment. North-Holland Publishing Co., Amsterdam. [book; no open-access URL available]</w:t>
      </w:r>
    </w:p>
    <w:p/>
    <w:p>
      <w:pPr>
        <w:jc w:val="right"/>
      </w:pPr>
      <w:r>
        <w:rPr>
          <w:rFonts w:ascii="Times New Roman" w:hAnsi="Times New Roman"/>
          <w:i/>
          <w:sz w:val="20"/>
        </w:rPr>
        <w:t>Prague, March 2026</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emanticscholar.org/paper/Measurements-of-Ground-Temperature-at-Various-Florides-Kalogirou/3205b850d46eeaf53793f464059c8a7ac9af9661" TargetMode="External"/><Relationship Id="rId10" Type="http://schemas.openxmlformats.org/officeDocument/2006/relationships/hyperlink" Target="https://www.iso.org/standard/65716.html" TargetMode="External"/><Relationship Id="rId11" Type="http://schemas.openxmlformats.org/officeDocument/2006/relationships/hyperlink" Target="https://www.vdi.de/richtlinien/details/vdi-4640-blatt-1-thermische-nutzung-des-untergrunds-grundlagen-genehmigungen-umweltaspekte" TargetMode="External"/><Relationship Id="rId12" Type="http://schemas.openxmlformats.org/officeDocument/2006/relationships/hyperlink" Target="https://shop.wvgw.de/G-463-Technical-Rule-Standard-10-2021-PDF-file/512260" TargetMode="External"/><Relationship Id="rId13" Type="http://schemas.openxmlformats.org/officeDocument/2006/relationships/hyperlink" Target="https://standards.iteh.ai/catalog/standards/cen/5316c548-ef75-41c6-a34f-9db8435bef1a/en-1594-2013" TargetMode="External"/><Relationship Id="rId14" Type="http://schemas.openxmlformats.org/officeDocument/2006/relationships/hyperlink" Target="https://en.ilmatieteenlaitos.fi/climate-statistics" TargetMode="External"/><Relationship Id="rId15" Type="http://schemas.openxmlformats.org/officeDocument/2006/relationships/hyperlink" Target="https://www.ilmateenistus.ee/kliima/kliimanormid/ohutemperatuur/?lang=en" TargetMode="External"/><Relationship Id="rId16" Type="http://schemas.openxmlformats.org/officeDocument/2006/relationships/hyperlink" Target="https://www.meteo.lv/en/meteorology/climate/climate-normals/" TargetMode="External"/><Relationship Id="rId17" Type="http://schemas.openxmlformats.org/officeDocument/2006/relationships/hyperlink" Target="https://www.meteo.lt/en/climate/lithuanian-climate/standard-climate-normals/" TargetMode="External"/><Relationship Id="rId18" Type="http://schemas.openxmlformats.org/officeDocument/2006/relationships/hyperlink" Target="https://www.imgw.pl/en" TargetMode="External"/><Relationship Id="rId19" Type="http://schemas.openxmlformats.org/officeDocument/2006/relationships/hyperlink" Target="https://www.dwd.de/EN/ourservices/cdc/cdc_ueberblick-klimadaten_en.html" TargetMode="External"/><Relationship Id="rId20" Type="http://schemas.openxmlformats.org/officeDocument/2006/relationships/hyperlink" Target="https://climate.copernicus.eu/climate-reanalysis" TargetMode="External"/><Relationship Id="rId21" Type="http://schemas.openxmlformats.org/officeDocument/2006/relationships/hyperlink" Target="https://www.ashrae.org/technical-resources/ashrae-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