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  <w:gridCol w:w="4933"/>
      </w:tblGrid>
      <w:tr>
        <w:tc>
          <w:tcPr>
            <w:tcW w:type="dxa" w:w="7087"/>
            <w:shd w:val="clear" w:color="auto" w:fill="E8F0F8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002255"/>
                <w:sz w:val="24"/>
              </w:rPr>
              <w:t>ДОГОВОР НА ТЕХНИЧЕСКУЮ ПОДДЕРЖКУ</w:t>
              <w:br/>
              <w:t>ПРОГРАММНОГО ОБЕСПЕЧЕНИЯ SIMONE</w:t>
            </w:r>
          </w:p>
        </w:tc>
        <w:tc>
          <w:tcPr>
            <w:tcW w:type="dxa" w:w="170"/>
            <w:shd w:val="clear" w:color="auto" w:fill="CCCCCC"/>
          </w:tcPr>
          <w:p/>
        </w:tc>
        <w:tc>
          <w:tcPr>
            <w:tcW w:type="dxa" w:w="7087"/>
            <w:shd w:val="clear" w:color="auto" w:fill="F8F0E8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552200"/>
                <w:sz w:val="24"/>
              </w:rPr>
              <w:t>SIMONE БАҒДАРЛАМАЛЫҚ ҚАМТАМАСЫЗ ЕТУІНЕ</w:t>
              <w:br/>
              <w:t>ТЕХНИКАЛЫҚ ҚОЛДАУ КӨРСЕТУ ШАРТЫ</w:t>
            </w:r>
          </w:p>
        </w:tc>
      </w:tr>
      <w:tr>
        <w:tc>
          <w:tcPr>
            <w:tcW w:type="dxa" w:w="7087"/>
            <w:shd w:val="clear" w:color="auto" w:fill="E8F0F8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№ _______________</w:t>
              <w:br/>
              <w:t>Астана, «___» ____________ 2026 г.</w:t>
            </w:r>
          </w:p>
        </w:tc>
        <w:tc>
          <w:tcPr>
            <w:tcW w:type="dxa" w:w="170"/>
            <w:shd w:val="clear" w:color="auto" w:fill="CCCCCC"/>
          </w:tcPr>
          <w:p/>
        </w:tc>
        <w:tc>
          <w:tcPr>
            <w:tcW w:type="dxa" w:w="7087"/>
            <w:shd w:val="clear" w:color="auto" w:fill="F8F0E8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№ _______________</w:t>
              <w:br/>
              <w:t>Астана, «___» ____________ 2026 г.</w:t>
            </w:r>
          </w:p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СТОРОНЫ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ТАРАПТАР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Исполнитель: SIMONE Research Group s.r.o., юридическое лицо, зарегистрированное по законодательству Чешской Республики, рег. №: 26417726, адрес: Jankovcova 1037/49, 170 00 Praha 7, Чешская Республика, в лице уполномоченного представителя _________________________, действующего на основании _________________________.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Орындаушы: SIMONE Research Group s.r.o., Чех Республикасының заңнамасы бойынша тіркелген заңды тұлға, тіркеу нөмірі: 26417726, мекенжайы: Jankovcova 1037/49, 170 00 Praha 7, Чех Республикасы, _________________________ негізінде әрекет ететін _________________________ өкілетті өкілінің атынан.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Заказчик: АО «QazaqGaz», юридическое лицо, зарегистрированное по законодательству Республики Казахстан, БИН: _______________, адрес: г. Астана, ул. _________________________, в лице Председателя Правления _________________________, действующего на основании Устава.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Тапсырыс беруші: «QazaqGaz» АҚ, Қазақстан Республикасының заңнамасы бойынша тіркелген заңды тұлға, БСН: _______________, мекенжайы: Астана қ., _________________________ к., Жарғы негізінде әрекет ететін Басқарма Төрағасы _________________________ атынан.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Совместно именуемые «Стороны».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Бірлесіп «Тараптар» деп аталады.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1. ПРЕДМЕТ ДОГОВОРА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1-БАП. ШАРТТЫҢ МӘНІ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1.1 Исполнитель обязуется оказывать Заказчику комплексные услуги технической поддержки ПО SIMONE, включая все уровни поддержки согласно Приложению № 1, а Заказчик обязуется принять и оплатить услуги на условиях настоящего Договора.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1.1 Орындаушы Тапсырыс берушіге SIMONE БҚ-на № 1 Қосымшада көзделген барлық қолдау деңгейлерін қамтитын кешенді техникалық қолдау қызметтерін көрсетуге міндеттенеді, ал Тапсырыс беруші аталған қызметтерді осы Шарттың талаптарына сәйкес қабылдауға және төлеуге міндеттенеді.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1.2 Территория оказания услуг: Республика Казахстан и дистанционно (без ограничений).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1.2 Қызметтер көрсету аумағы: Қазақстан Республикасы және қашықтықтан (шектеусіз).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2. СОСТАВ УСЛУГ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2-БАП. ҚЫЗМЕТТЕР ҚҰРАМЫ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2.1 ГОРЯЧАЯ ЛИНИЯ (HOTLINE)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2.1 ЖЕДЕЛ ҚОЛДАУ (HOTLINE)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Телефонная и электронная поддержка 24/7/365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Телефон және электрондық пошта арқылы қолдау 24/7/365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Время первого ответа: не более 2 часов с момента обращения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Алғашқы жауап беру уақыты: өтініш жасалған сәттен бастап 2 сағаттан аспайды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Выделенный контактный менеджер со знанием русского языка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Орыс тілін білетін арнайы байланыс менеджері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Регистрация и отслеживание инцидентов через систему тикетов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Тикет жүйесі арқылы инциденттерді тіркеу және бақылау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60" w:hRule="exact"/>
        </w:trPr>
        <w:tc>
          <w:tcPr>
            <w:tcW w:type="dxa" w:w="4933"/>
          </w:tcPr>
          <w:p/>
        </w:tc>
        <w:tc>
          <w:tcPr>
            <w:tcW w:type="dxa" w:w="4933"/>
            <w:shd w:val="clear" w:color="auto" w:fill="CCCCCC"/>
          </w:tcPr>
          <w:p/>
        </w:tc>
        <w:tc>
          <w:tcPr>
            <w:tcW w:type="dxa" w:w="4933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2.2 ВЫЕЗД СПЕЦИАЛИСТА (ON-SITE)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2.2 МАМАН ШЫҒУ (ON-SITE)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До 10 выездов специалиста в год на объекты Заказчика в Казахстане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Жылына Тапсырыс берушінің Қазақстандағы нысандарына 10 маман шығуға дейін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Реакция и выезд в течение 5 рабочих дней с момента согласования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Келісілген сәттен бастап 5 жұмыс күні ішінде шығу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Все командировочные расходы (авиабилеты, проживание, суточные) включены в стоимость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Барлық іссапар шығыстары (авиабилеттер, тұру, күндізгі жәрдемақы) Шарт құнына кіреді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Устранение неисправностей, настройка и оптимизация ПО SIMONE на месте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SIMONE БҚ-ны орнында жөндеу, баптау және оңтайландыру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60" w:hRule="exact"/>
        </w:trPr>
        <w:tc>
          <w:tcPr>
            <w:tcW w:type="dxa" w:w="4933"/>
          </w:tcPr>
          <w:p/>
        </w:tc>
        <w:tc>
          <w:tcPr>
            <w:tcW w:type="dxa" w:w="4933"/>
            <w:shd w:val="clear" w:color="auto" w:fill="CCCCCC"/>
          </w:tcPr>
          <w:p/>
        </w:tc>
        <w:tc>
          <w:tcPr>
            <w:tcW w:type="dxa" w:w="4933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2.3 ОБНОВЛЕНИЯ И НОВЫЕ ВЕРСИИ ПО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2.3 БҚ ЖАҢАРТУЛАРЫ МЕН ЖАҢА НҰСҚАЛАРЫ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Предоставление всех обновлений, патчей и новых версий ПО SIMONE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SIMONE БҚ-ның барлық жаңартулары, патчтары мен жаңа нұсқаларын ұсыну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Миграция данных и конфигураций при обновлении версий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Нұсқаларды жаңарту кезінде деректер мен конфигурацияларды көшіру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Тестирование обновлений в среде Заказчика перед внедрением в продуктив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Өндіріске енгізер алдында Тапсырыс берушінің ортасында жаңартуларды сынау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Документация на русском языке к каждому обновлению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Әрбір жаңарту үшін орыс тіліндегі құжаттама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60" w:hRule="exact"/>
        </w:trPr>
        <w:tc>
          <w:tcPr>
            <w:tcW w:type="dxa" w:w="4933"/>
          </w:tcPr>
          <w:p/>
        </w:tc>
        <w:tc>
          <w:tcPr>
            <w:tcW w:type="dxa" w:w="4933"/>
            <w:shd w:val="clear" w:color="auto" w:fill="CCCCCC"/>
          </w:tcPr>
          <w:p/>
        </w:tc>
        <w:tc>
          <w:tcPr>
            <w:tcW w:type="dxa" w:w="4933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2.4 ОБУЧЕНИЕ ПЕРСОНАЛА (TRAINING)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2.4 ҚЫЗМЕТКЕРЛЕРДІ ОҚЫТУ (TRAINING)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До 4 обучающих сессий в год (очно и/или дистанционно)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Жылына 4 оқу сессиясына дейін (тікелей және/немесе қашықтықтан)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Базовый курс: управление ПО SIMONE, моделирование газовых сетей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Негізгі курс: SIMONE БҚ-ны басқару, газ желілерін модельдеу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Продвинутый курс: оптимизация, сценарный анализ, интеграция с SCADA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Кеңейтілген курс: оңтайландыру, сценарийлік талдау, SCADA-мен интеграция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Сертификаты по завершении обучения для сотрудников Заказчика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Тапсырыс берушінің қызметкерлері үшін оқуды аяқтаған соң сертификаттар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Учебные материалы на русском языке; до 15 участников на сессию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Орыс тіліндегі оқу материалдары; сессияға 15 адамға дейін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60" w:hRule="exact"/>
        </w:trPr>
        <w:tc>
          <w:tcPr>
            <w:tcW w:type="dxa" w:w="4933"/>
          </w:tcPr>
          <w:p/>
        </w:tc>
        <w:tc>
          <w:tcPr>
            <w:tcW w:type="dxa" w:w="4933"/>
            <w:shd w:val="clear" w:color="auto" w:fill="CCCCCC"/>
          </w:tcPr>
          <w:p/>
        </w:tc>
        <w:tc>
          <w:tcPr>
            <w:tcW w:type="dxa" w:w="4933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2.5 КОНСУЛЬТАЦИОННЫЕ УСЛУГИ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2.5 КОНСУЛЬТАЦИЯЛЫҚ ҚЫЗМЕТТЕР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Неограниченные консультации по применению ПО SIMONE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SIMONE БҚ-ны қолдану мәселелері бойынша шектеусіз консультациялар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Помощь в разработке расчётных моделей газотранспортных сетей Казахстана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Қазақстанның газтасымалдау желілері есептік үлгілерін әзірлеуге көмек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Рекомендации по оптимизации режимов работы газопроводов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Газ құбырлары жұмыс режимдерін оңтайландыру бойынша ұсыныстар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Ежеквартальные технические совещания (онлайн) с командой SIMONE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• SIMONE командасымен тоқсандық техникалық кеңесулер (онлайн)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3. СРОК ДЕЙСТВИЯ ДОГОВОРА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3-БАП. ШАРТТЫҢ ҚОЛДАНЫЛУ МЕРЗІМІ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3.1 Договор вступает в силу с даты подписания обеими Сторонами и действует в течение 5 (пяти) лет.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3.1 Шарт екі Тараптың да қол қойған күнінен бастап күшіне енеді және 5 (бес) жыл бойы қолданылады.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3.2 По истечении срока Договор может быть продлён по взаимному письменному соглашению не позднее чем за 60 дней до окончания срока.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3.2 Шарттың мерзімі аяқталғаннан кейін Шарт мерзімі аяқталғанға дейін 60 күннен кешіктірілмей өзара жазбаша келісім бойынша ұзартылуы мүмкін.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4. СТОИМОСТЬ И ПОРЯДОК ОПЛАТЫ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4-БАП. ҚҰНЫ МЕН ТӨЛЕМ ТӘРТІБІ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4.1 Общая стоимость услуг составляет 100 000 (сто тысяч) евро (EUR) за весь срок действия Договора.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4.1 Қызметтердің жалпы құны Шарттың бүкіл қолданылу мерзіміне 100 000 (жүз мың) евро (EUR) құрайды.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4.2 Оплата — ежегодными равными платежами по 20 000 EUR согласно графику:</w:t>
              <w:br/>
              <w:t xml:space="preserve">  Год 1: в течение 30 дней после вступления в силу</w:t>
              <w:br/>
              <w:t xml:space="preserve">  Год 2–5: до 31 января каждого года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4.2 Төлем — жылына 20 000 EUR тең жылдық төлемдермен кестеге сәйкес:</w:t>
              <w:br/>
              <w:t xml:space="preserve">  1-жыл: Шарт күшіне енгеннен кейін 30 күн ішінде</w:t>
              <w:br/>
              <w:t xml:space="preserve">  2–5-жыл: әр жылдың 31 қаңтарына дейін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4.3 Оплата — банковским переводом на реквизиты, указанные в Приложении № 2. Датой оплаты считается дата зачисления средств на счёт Исполнителя.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4.3 Төлем № 2 Қосымшада көрсетілген деректемелерге банктік аударым арқылы жүргізіледі. Ақшаның шотқа есептелген күні төлем күні болып есептеледі.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4.4 В случае просрочки оплаты начисляется пеня 0,1% от просроченной суммы за каждый день, но не более 5% от суммы платежа.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4.4 Төлемнің кешіктірілуі жағдайында кешіктірудің әрбір күні үшін 0,1% өсімпұл есептеледі, бірақ төлем сомасының 5%-нан аспайды.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5. УРОВНИ СЕРВИСА (SLA)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5-БАП. ҚЫЗМЕТ ДЕҢГЕЙЛЕРІ (SLA)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1772"/>
              <w:gridCol w:w="1772"/>
              <w:gridCol w:w="1772"/>
              <w:gridCol w:w="1772"/>
            </w:tblGrid>
            <w:tr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Приоритет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Описание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Реакция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Решение</w:t>
                  </w:r>
                </w:p>
              </w:tc>
            </w:tr>
            <w:tr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P1 Критический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ПО полностью недоступно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 часа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24 часа</w:t>
                  </w:r>
                </w:p>
              </w:tc>
            </w:tr>
            <w:tr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P2 Высокий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Существенная деградация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4 часа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72 часа</w:t>
                  </w:r>
                </w:p>
              </w:tc>
            </w:tr>
            <w:tr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P3 Средний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Частичные сбои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8 раб.ч.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10 раб.дн.</w:t>
                  </w:r>
                </w:p>
              </w:tc>
            </w:tr>
            <w:tr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P4 Низкий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Запросы на изменение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 раб.дн.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По согл.</w:t>
                  </w:r>
                </w:p>
              </w:tc>
            </w:tr>
          </w:tbl>
          <w:p/>
        </w:tc>
        <w:tc>
          <w:tcPr>
            <w:tcW w:type="dxa" w:w="170"/>
            <w:shd w:val="clear" w:color="auto" w:fill="CCCCCC"/>
          </w:tcPr>
          <w:p/>
        </w:tc>
        <w:tc>
          <w:tcPr>
            <w:tcW w:type="dxa" w:w="7087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1772"/>
              <w:gridCol w:w="1772"/>
              <w:gridCol w:w="1772"/>
              <w:gridCol w:w="1772"/>
            </w:tblGrid>
            <w:tr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Басымдық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Сипаттама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Жауап</w:t>
                  </w:r>
                </w:p>
              </w:tc>
              <w:tc>
                <w:tcPr>
                  <w:tcW w:type="dxa" w:w="1772"/>
                  <w:shd w:val="clear" w:color="auto" w:fill="D0E4F0"/>
                </w:tcPr>
                <w:p>
                  <w:r>
                    <w:rPr>
                      <w:rFonts w:ascii="Times New Roman" w:hAnsi="Times New Roman"/>
                      <w:b/>
                      <w:sz w:val="18"/>
                    </w:rPr>
                    <w:t>Шешу</w:t>
                  </w:r>
                </w:p>
              </w:tc>
            </w:tr>
            <w:tr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P1 Сыни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БҚ толықтай қолжетімсіз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 сағат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24 сағат</w:t>
                  </w:r>
                </w:p>
              </w:tc>
            </w:tr>
            <w:tr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P2 Жоғары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Елеулі нашарлау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4 сағат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72 сағат</w:t>
                  </w:r>
                </w:p>
              </w:tc>
            </w:tr>
            <w:tr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P3 Орташа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Ішінара ақаулар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8 жұм.сағ.</w:t>
                  </w:r>
                </w:p>
              </w:tc>
              <w:tc>
                <w:tcPr>
                  <w:tcW w:type="dxa" w:w="1772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10 жұм.күн</w:t>
                  </w:r>
                </w:p>
              </w:tc>
            </w:tr>
            <w:tr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P4 Төмен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Өзгерту сұраулары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2 жұм.күн</w:t>
                  </w:r>
                </w:p>
              </w:tc>
              <w:tc>
                <w:tcPr>
                  <w:tcW w:type="dxa" w:w="1772"/>
                  <w:shd w:val="clear" w:color="auto" w:fill="F5F5F5"/>
                </w:tcPr>
                <w:p>
                  <w:r>
                    <w:rPr>
                      <w:rFonts w:ascii="Times New Roman" w:hAnsi="Times New Roman"/>
                      <w:sz w:val="18"/>
                    </w:rPr>
                    <w:t>Келісім б-ша</w:t>
                  </w:r>
                </w:p>
              </w:tc>
            </w:tr>
          </w:tbl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6. ПРАВА И ОБЯЗАННОСТИ СТОРОН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6-БАП. ТАРАПТАРДЫҢ ҚҰҚЫҚТАРЫ МЕН МІНДЕТТЕРІ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6.1 Обязанности Исполнителя: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6.1 Орындаушының міндеттері: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а) Оказывать услуги качественно и в установленные сроки;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а) Қызметтерді сапалы және белгіленген мерзімде көрсету;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б) Обеспечивать конфиденциальность данных Заказчика;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б) Тапсырыс берушінің деректерінің құпиялылығын қамтамасыз ету;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в) Предоставлять ежеквартальные отчёты об оказанных услугах;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в) Көрсетілген қызметтер туралы тоқсандық есептер ұсыну;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г) Уведомлять о плановых технических работах не менее чем за 72 часа;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г) Жоспарлы техникалық жұмыстар туралы кемінде 72 сағат бұрын хабардар ету;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д) Обеспечивать совместимость обновлений с инфраструктурой Заказчика;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д) Жаңартулардың Тапсырыс берушінің инфрақұрылымымен үйлесімділігін қамтамасыз ету;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е) Назначить выделенного менеджера проекта со знанием русского языка.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е) Орыс тілін білетін арнайы жоба менеджерін тағайындау.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60" w:hRule="exact"/>
        </w:trPr>
        <w:tc>
          <w:tcPr>
            <w:tcW w:type="dxa" w:w="4933"/>
          </w:tcPr>
          <w:p/>
        </w:tc>
        <w:tc>
          <w:tcPr>
            <w:tcW w:type="dxa" w:w="4933"/>
            <w:shd w:val="clear" w:color="auto" w:fill="CCCCCC"/>
          </w:tcPr>
          <w:p/>
        </w:tc>
        <w:tc>
          <w:tcPr>
            <w:tcW w:type="dxa" w:w="4933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6.2 Обязанности Заказчика: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6.2 Тапсырыс берушінің міндеттері: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а) Производить оплату в установленные сроки;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а) Белгіленген мерзімде төлем жүргізу;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б) Обеспечивать доступ специалистов Исполнителя к системам и объектам;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б) Орындаушы мамандарының қажетті жүйелер мен нысандарға қол жеткізуін қамтамасыз ету;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в) Своевременно предоставлять информацию, необходимую для выполнения работ;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в) Жұмыстарды орындау үшін қажетті ақпаратты уақтылы ұсыну;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г) Назначить ответственного технического специалиста со стороны Заказчика;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г) Тапсырыс беруші тарапынан жауапты техникалық маманды тағайындау;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д) Уведомлять Исполнителя об инцидентах через официальные каналы.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д) Ресми арналар арқылы инциденттер туралы Орындаушыны хабардар ету.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7. КОНФИДЕНЦИАЛЬНОСТЬ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7-БАП. ҚҰПИЯЛЫЛЫҚ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7.1 Стороны обязуются сохранять конфиденциальность всей информации, полученной в ходе исполнения Договора, и не разглашать её третьим лицам без письменного согласия другой Стороны.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7.1 Тараптар Шартты орындау барысында алынған барлық ақпараттың құпиялылығын сақтауға және екінші Тараптың жазбаша келісімінсіз оны үшінші тұлғаларға жариламауға міндеттенеді.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7.2 Обязательства по конфиденциальности действуют в течение срока Договора и 3 (трёх) лет после его прекращения.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7.2 Құпиялылық міндеттемелері Шарттың қолданылу мерзімінде және оның тоқтатылғаннан кейін 3 (үш) жыл бойы қолданылады.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8. ОТВЕТСТВЕННОСТЬ СТОРОН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8-БАП. ТАРАПТАРДЫҢ ЖАУАПКЕРШІЛІГІ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8.1 За неисполнение или ненадлежащее исполнение обязательств Стороны несут ответственность в соответствии с действующим законодательством и настоящим Договором.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8.1 Міндеттемелерді орындамаған немесе тиісінше орындамаған жағдайда Тараптар қолданыстағы заңнамаға және осы Шартқа сәйкес жауапкершілік алады.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8.2 Ответственность Исполнителя ограничена суммой годового платежа, применимого к периоду возникновения ущерба.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8.2 Орындаушының жауапкершілігі зиян туындаған кезеңге қолданылатын жылдық төлем сомасымен шектеледі.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8.3 Ни одна из Сторон не несёт ответственности за косвенные, случайные или штрафные убытки.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8.3 Тараптардың ешқайсысы жанама, кездейсоқ немесе айыппұлдық зияндар үшін жауапты емес.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9. ФОРС-МАЖОР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9-БАП. ФОРС-МАЖОР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9.1 Стороны освобождаются от ответственности вследствие обстоятельств непреодолимой силы: стихийные бедствия, военные действия, эпидемии, действия государственных органов. Сторона обязана уведомить другую Сторону в течение 5 рабочих дней.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9.1 Тараптар еңсерілмес күш жағдайлары салдарынан жауапкершіліктен босатылады: табиғи апаттар, соғыс қимылдары, эпидемиялар, мемлекеттік органдардың іс-әрекеттері. Тарап 5 жұмыс күні ішінде екінші Тарапты хабардар етуге міндетті.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10. РАЗРЕШЕНИЕ СПОРОВ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10-БАП. ДАУЛАРДЫ ШЕШУ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10.1 Все споры Стороны стремятся урегулировать путём переговоров.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10.1 Барлық дауларды Тараптар келіссөздер арқылы реттеуге ұмтылады.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10.2 При недостижении соглашения — передача в Международный арбитражный центр при МФЦА «Астана». Место: г. Астана. Язык: русский.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10.2 Келісімге қол жеткізілмеген жағдайда — АХҚО «Астана» Халықаралық арбитраж орталығына беру. Орны: Астана қ. Тіл: орыс тілі.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СТАТЬЯ 11. ПРОЧИЕ УСЛОВИЯ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11-БАП. ӨЗГЕ ТАЛАПТАР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11.1 Договор составлен на русском и казахском языках в 4 (четырёх) экземплярах — по 2 на каждом языке, имеющих равную юридическую силу. При расхождениях приоритет — русскоязычный текст.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11.1 Шарт орыс және қазақ тілдерінде 4 (төрт) данада жасалды — әр тілде 2-ден, заңды күші бірдей. Сәйкессіздіктер болған жағдайда орыс тіліндегі мәтін басым болады.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11.2 Все изменения оформляются дополнительными соглашениями, подписанными уполномоченными представителями обеих Сторон.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11.2 Барлық өзгерістер екі Тараптың уәкілетті өкілдері қол қойған қосымша келісімдер түрінде ресімделеді.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11.3 Приложения: № 1 — Описание SLA; № 2 — Банковские реквизиты; № 3 — График обучения; № 4 — Контактные лица.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 w:val="0"/>
                <w:sz w:val="20"/>
              </w:rPr>
              <w:t>11.3 Қосымшалар: № 1 — SLA сипаттамасы; № 2 — Банктік деректемелер; № 3 — Оқу кестесі; № 4 — Байланыс тұлғалары.</w:t>
            </w:r>
          </w:p>
        </w:tc>
        <w:tc>
          <w:tcPr>
            <w:tcW w:type="dxa" w:w="7087"/>
            <w:vAlign w:val="top"/>
          </w:tcPr>
          <w:p/>
        </w:tc>
      </w:tr>
      <w:tr>
        <w:trPr>
          <w:trHeight w:val="80" w:hRule="exact"/>
        </w:trPr>
        <w:tc>
          <w:tcPr>
            <w:tcW w:type="dxa" w:w="4933"/>
            <w:shd w:val="clear" w:color="auto" w:fill="C0D4E8"/>
          </w:tcPr>
          <w:p/>
        </w:tc>
        <w:tc>
          <w:tcPr>
            <w:tcW w:type="dxa" w:w="4933"/>
            <w:shd w:val="clear" w:color="auto" w:fill="C0D4E8"/>
            <w:shd w:val="clear" w:color="auto" w:fill="CCCCCC"/>
          </w:tcPr>
          <w:p/>
        </w:tc>
        <w:tc>
          <w:tcPr>
            <w:tcW w:type="dxa" w:w="4933"/>
            <w:shd w:val="clear" w:color="auto" w:fill="C0D4E8"/>
          </w:tcPr>
          <w:p/>
        </w:tc>
      </w:tr>
      <w:tr>
        <w:tc>
          <w:tcPr>
            <w:tcW w:type="dxa" w:w="7087"/>
            <w:vAlign w:val="top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РЕКВИЗИТЫ И ПОДПИСИ СТОРОН</w:t>
            </w:r>
          </w:p>
        </w:tc>
        <w:tc>
          <w:tcPr>
            <w:tcW w:type="dxa" w:w="170"/>
            <w:vAlign w:val="top"/>
            <w:shd w:val="clear" w:color="auto" w:fill="CCCCCC"/>
          </w:tcPr>
          <w:p>
            <w:pPr>
              <w:jc w:val="both"/>
            </w:pPr>
            <w:r>
              <w:rPr>
                <w:rFonts w:ascii="Times New Roman" w:hAnsi="Times New Roman"/>
                <w:b/>
                <w:color w:val="003366"/>
                <w:sz w:val="20"/>
              </w:rPr>
              <w:t>ТАРАПТАРДЫҢ ДЕРЕКТЕМЕЛЕРІ МЕН ҚОЛДАРЫ</w:t>
            </w:r>
          </w:p>
        </w:tc>
        <w:tc>
          <w:tcPr>
            <w:tcW w:type="dxa" w:w="7087"/>
            <w:vAlign w:val="top"/>
          </w:tcPr>
          <w:p/>
        </w:tc>
      </w:tr>
      <w:tr>
        <w:tc>
          <w:tcPr>
            <w:tcW w:type="dxa" w:w="7087"/>
            <w:shd w:val="clear" w:color="auto" w:fill="E8F0F8"/>
          </w:tcPr>
          <w:p>
            <w:r>
              <w:rPr>
                <w:rFonts w:ascii="Times New Roman" w:hAnsi="Times New Roman"/>
                <w:b/>
                <w:sz w:val="20"/>
              </w:rPr>
              <w:t>Исполнитель / Орындаушы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SIMONE Research Group s.r.o.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Jankovcova 1037/49, 170 00 Praha 7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Czech Republic  |  Reg. No.: 26417726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VAT: CZ26417726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Bank: 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IBAN: 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BIC/SWIFT: 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Подпись / Қолы: 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Ф.И.О. / Аты-жөні: 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Должность / Лауазымы: 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Дата / Күні: «___» _______ 2026 г.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М.П. / М.О.</w:t>
            </w:r>
          </w:p>
        </w:tc>
        <w:tc>
          <w:tcPr>
            <w:tcW w:type="dxa" w:w="170"/>
            <w:shd w:val="clear" w:color="auto" w:fill="CCCCCC"/>
          </w:tcPr>
          <w:p/>
        </w:tc>
        <w:tc>
          <w:tcPr>
            <w:tcW w:type="dxa" w:w="7087"/>
            <w:shd w:val="clear" w:color="auto" w:fill="F8F0E8"/>
          </w:tcPr>
          <w:p>
            <w:r>
              <w:rPr>
                <w:rFonts w:ascii="Times New Roman" w:hAnsi="Times New Roman"/>
                <w:b/>
                <w:sz w:val="20"/>
              </w:rPr>
              <w:t>Заказчик / Тапсырыс беруші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АО «QazaqGaz» / «QazaqGaz» АҚ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Республика Казахстан, г. Астана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БИН / БСН: 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Банк: ____________________________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ИИК / ЖСК: 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БИК / БСК: 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Подпись / Қолы: 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Ф.И.О. / Аты-жөні: 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Должность: Председатель Правления /</w:t>
              <w:br/>
              <w:t>Лауазымы: Басқарма Төрағасы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Дата / Күні: «___» _______ 2026 г.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М.П. / М.О.</w:t>
            </w:r>
          </w:p>
        </w:tc>
      </w:tr>
    </w:tbl>
    <w:sectPr w:rsidR="00FC693F" w:rsidRPr="0006063C" w:rsidSect="00034616">
      <w:pgSz w:w="16838" w:h="11906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